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B0F" w:rsidRPr="00232D16" w:rsidRDefault="006D5B0F" w:rsidP="006D5B0F">
      <w:pPr>
        <w:ind w:right="17"/>
        <w:outlineLvl w:val="0"/>
        <w:rPr>
          <w:rFonts w:ascii="Arial" w:hAnsi="Arial" w:cs="Arial"/>
          <w:b/>
          <w:sz w:val="22"/>
          <w:szCs w:val="22"/>
          <w:u w:val="single"/>
        </w:rPr>
      </w:pPr>
      <w:bookmarkStart w:id="0" w:name="_GoBack"/>
      <w:bookmarkEnd w:id="0"/>
      <w:r>
        <w:rPr>
          <w:rFonts w:ascii="Arial" w:hAnsi="Arial" w:cs="Arial"/>
          <w:b/>
          <w:sz w:val="22"/>
          <w:szCs w:val="22"/>
          <w:u w:val="single"/>
        </w:rPr>
        <w:t>Segen für den Online-Handel und die Verbraucher:</w:t>
      </w:r>
      <w:r>
        <w:rPr>
          <w:rFonts w:ascii="Arial" w:hAnsi="Arial" w:cs="Arial"/>
          <w:b/>
          <w:sz w:val="22"/>
          <w:szCs w:val="22"/>
          <w:u w:val="single"/>
        </w:rPr>
        <w:br/>
        <w:t>Keine starke Kundenauthentifizierung bei Lastschrift</w:t>
      </w:r>
    </w:p>
    <w:p w:rsidR="006D5B0F" w:rsidRPr="006E58EC" w:rsidRDefault="006D5B0F" w:rsidP="006D5B0F">
      <w:pPr>
        <w:tabs>
          <w:tab w:val="left" w:pos="7560"/>
          <w:tab w:val="left" w:pos="7740"/>
        </w:tabs>
        <w:ind w:right="17"/>
        <w:rPr>
          <w:rFonts w:ascii="Arial" w:hAnsi="Arial" w:cs="Arial"/>
          <w:sz w:val="32"/>
          <w:szCs w:val="32"/>
        </w:rPr>
      </w:pPr>
      <w:r w:rsidRPr="00BA12D0">
        <w:rPr>
          <w:rFonts w:ascii="Arial" w:hAnsi="Arial" w:cs="Arial"/>
          <w:sz w:val="36"/>
          <w:szCs w:val="36"/>
        </w:rPr>
        <w:softHyphen/>
      </w:r>
      <w:r w:rsidRPr="00BA12D0">
        <w:rPr>
          <w:rFonts w:ascii="Arial" w:hAnsi="Arial" w:cs="Arial"/>
          <w:sz w:val="36"/>
          <w:szCs w:val="36"/>
        </w:rPr>
        <w:softHyphen/>
      </w:r>
    </w:p>
    <w:p w:rsidR="006D5B0F" w:rsidRDefault="006D5B0F" w:rsidP="006D5B0F">
      <w:pPr>
        <w:tabs>
          <w:tab w:val="left" w:pos="6255"/>
        </w:tabs>
        <w:ind w:right="17"/>
        <w:rPr>
          <w:rFonts w:ascii="Arial" w:hAnsi="Arial" w:cs="Arial"/>
          <w:b/>
          <w:sz w:val="28"/>
          <w:szCs w:val="28"/>
        </w:rPr>
      </w:pPr>
      <w:r>
        <w:rPr>
          <w:rFonts w:ascii="Arial" w:hAnsi="Arial" w:cs="Arial"/>
          <w:b/>
          <w:sz w:val="28"/>
          <w:szCs w:val="28"/>
        </w:rPr>
        <w:t xml:space="preserve">Es lebe die Lastschrift: </w:t>
      </w:r>
      <w:r>
        <w:rPr>
          <w:rFonts w:ascii="Arial" w:hAnsi="Arial" w:cs="Arial"/>
          <w:b/>
          <w:sz w:val="28"/>
          <w:szCs w:val="28"/>
        </w:rPr>
        <w:br/>
        <w:t>Creditreform Boniversum GmbH begrüßt BaFin-Entscheidung</w:t>
      </w:r>
    </w:p>
    <w:p w:rsidR="006D5B0F" w:rsidRPr="00BA12D0" w:rsidRDefault="006D5B0F" w:rsidP="006D5B0F">
      <w:pPr>
        <w:tabs>
          <w:tab w:val="left" w:pos="7560"/>
          <w:tab w:val="left" w:pos="7740"/>
        </w:tabs>
        <w:ind w:right="17"/>
        <w:rPr>
          <w:rFonts w:ascii="Arial" w:hAnsi="Arial" w:cs="Arial"/>
          <w:sz w:val="32"/>
          <w:szCs w:val="32"/>
          <w:u w:val="single"/>
        </w:rPr>
      </w:pPr>
    </w:p>
    <w:p w:rsidR="006D5B0F" w:rsidRDefault="006D5B0F" w:rsidP="006D5B0F">
      <w:pPr>
        <w:autoSpaceDE w:val="0"/>
        <w:autoSpaceDN w:val="0"/>
        <w:adjustRightInd w:val="0"/>
        <w:spacing w:line="360" w:lineRule="auto"/>
        <w:rPr>
          <w:rFonts w:ascii="Arial" w:hAnsi="Arial" w:cs="Arial"/>
          <w:b/>
          <w:sz w:val="22"/>
          <w:szCs w:val="22"/>
        </w:rPr>
      </w:pPr>
      <w:r w:rsidRPr="00BA12D0">
        <w:rPr>
          <w:rFonts w:ascii="Arial" w:hAnsi="Arial" w:cs="Arial"/>
          <w:b/>
          <w:sz w:val="22"/>
          <w:szCs w:val="22"/>
          <w:u w:val="single"/>
        </w:rPr>
        <w:t xml:space="preserve">Neuss, </w:t>
      </w:r>
      <w:r>
        <w:rPr>
          <w:rFonts w:ascii="Arial" w:hAnsi="Arial" w:cs="Arial"/>
          <w:b/>
          <w:sz w:val="22"/>
          <w:szCs w:val="22"/>
          <w:u w:val="single"/>
        </w:rPr>
        <w:t>5</w:t>
      </w:r>
      <w:r w:rsidRPr="00BA12D0">
        <w:rPr>
          <w:rFonts w:ascii="Arial" w:hAnsi="Arial" w:cs="Arial"/>
          <w:b/>
          <w:sz w:val="22"/>
          <w:szCs w:val="22"/>
          <w:u w:val="single"/>
        </w:rPr>
        <w:t xml:space="preserve">. </w:t>
      </w:r>
      <w:r>
        <w:rPr>
          <w:rFonts w:ascii="Arial" w:hAnsi="Arial" w:cs="Arial"/>
          <w:b/>
          <w:sz w:val="22"/>
          <w:szCs w:val="22"/>
          <w:u w:val="single"/>
        </w:rPr>
        <w:t xml:space="preserve">Juni </w:t>
      </w:r>
      <w:r w:rsidRPr="00BA12D0">
        <w:rPr>
          <w:rFonts w:ascii="Arial" w:hAnsi="Arial" w:cs="Arial"/>
          <w:b/>
          <w:sz w:val="22"/>
          <w:szCs w:val="22"/>
          <w:u w:val="single"/>
        </w:rPr>
        <w:t>2019</w:t>
      </w:r>
      <w:r w:rsidRPr="00BA12D0">
        <w:rPr>
          <w:rFonts w:ascii="Arial" w:hAnsi="Arial" w:cs="Arial"/>
          <w:b/>
          <w:sz w:val="22"/>
          <w:szCs w:val="22"/>
        </w:rPr>
        <w:t xml:space="preserve"> – </w:t>
      </w:r>
      <w:r>
        <w:rPr>
          <w:rFonts w:ascii="Arial" w:hAnsi="Arial" w:cs="Arial"/>
          <w:b/>
          <w:sz w:val="22"/>
          <w:szCs w:val="22"/>
        </w:rPr>
        <w:t xml:space="preserve">Die Lastschrift, eine der beliebtesten Zahlungsarten im Online-Handel, war ernsthaft bedroht. Der Grund: Im Zuge der </w:t>
      </w:r>
      <w:proofErr w:type="spellStart"/>
      <w:r>
        <w:rPr>
          <w:rFonts w:ascii="Arial" w:hAnsi="Arial" w:cs="Arial"/>
          <w:b/>
          <w:sz w:val="22"/>
          <w:szCs w:val="22"/>
        </w:rPr>
        <w:t>EU-Zahlungs</w:t>
      </w:r>
      <w:r>
        <w:rPr>
          <w:rFonts w:ascii="Arial" w:hAnsi="Arial" w:cs="Arial"/>
          <w:b/>
          <w:sz w:val="22"/>
          <w:szCs w:val="22"/>
        </w:rPr>
        <w:softHyphen/>
        <w:t>dienste</w:t>
      </w:r>
      <w:r>
        <w:rPr>
          <w:rFonts w:ascii="Arial" w:hAnsi="Arial" w:cs="Arial"/>
          <w:b/>
          <w:sz w:val="22"/>
          <w:szCs w:val="22"/>
        </w:rPr>
        <w:softHyphen/>
        <w:t>richt</w:t>
      </w:r>
      <w:r>
        <w:rPr>
          <w:rFonts w:ascii="Arial" w:hAnsi="Arial" w:cs="Arial"/>
          <w:b/>
          <w:sz w:val="22"/>
          <w:szCs w:val="22"/>
        </w:rPr>
        <w:softHyphen/>
        <w:t>linie</w:t>
      </w:r>
      <w:proofErr w:type="spellEnd"/>
      <w:r>
        <w:rPr>
          <w:rFonts w:ascii="Arial" w:hAnsi="Arial" w:cs="Arial"/>
          <w:b/>
          <w:sz w:val="22"/>
          <w:szCs w:val="22"/>
        </w:rPr>
        <w:t xml:space="preserve"> PSD2 muss Mitte September die starke Kundenauthentifizierung umgesetzt werden. Eine Stellungnahme der Europäische Bankenaufsicht (EBA) deutete darauf hin, dass dies auch die Last</w:t>
      </w:r>
      <w:r>
        <w:rPr>
          <w:rFonts w:ascii="Arial" w:hAnsi="Arial" w:cs="Arial"/>
          <w:b/>
          <w:sz w:val="22"/>
          <w:szCs w:val="22"/>
        </w:rPr>
        <w:softHyphen/>
        <w:t>schrift betreffen solle. Dagegen gab es laute Proteste aus dem Online-Handel. Im April stellte die Bundesanstalt für Finanz</w:t>
      </w:r>
      <w:r>
        <w:rPr>
          <w:rFonts w:ascii="Arial" w:hAnsi="Arial" w:cs="Arial"/>
          <w:b/>
          <w:sz w:val="22"/>
          <w:szCs w:val="22"/>
        </w:rPr>
        <w:softHyphen/>
        <w:t>dienstleistungsaufsicht (BaFin) klar: In Deutschland wird das Lastschrift</w:t>
      </w:r>
      <w:r>
        <w:rPr>
          <w:rFonts w:ascii="Arial" w:hAnsi="Arial" w:cs="Arial"/>
          <w:b/>
          <w:sz w:val="22"/>
          <w:szCs w:val="22"/>
        </w:rPr>
        <w:softHyphen/>
        <w:t>verfahren funktionieren wie bisher – ohne 2-Faktor-Authentifizierung. Die Credit</w:t>
      </w:r>
      <w:r>
        <w:rPr>
          <w:rFonts w:ascii="Arial" w:hAnsi="Arial" w:cs="Arial"/>
          <w:b/>
          <w:sz w:val="22"/>
          <w:szCs w:val="22"/>
        </w:rPr>
        <w:softHyphen/>
        <w:t>reform Boniversum GmbH sieht in dieser Entscheidung signifi</w:t>
      </w:r>
      <w:r>
        <w:rPr>
          <w:rFonts w:ascii="Arial" w:hAnsi="Arial" w:cs="Arial"/>
          <w:b/>
          <w:sz w:val="22"/>
          <w:szCs w:val="22"/>
        </w:rPr>
        <w:softHyphen/>
        <w:t xml:space="preserve">kante Vorteile für den Online-Handel und Verbraucher. </w:t>
      </w:r>
    </w:p>
    <w:p w:rsidR="006D5B0F" w:rsidRPr="00A84C7D" w:rsidRDefault="006D5B0F" w:rsidP="006D5B0F">
      <w:pPr>
        <w:autoSpaceDE w:val="0"/>
        <w:autoSpaceDN w:val="0"/>
        <w:adjustRightInd w:val="0"/>
        <w:spacing w:line="360" w:lineRule="auto"/>
        <w:rPr>
          <w:rFonts w:ascii="Arial" w:hAnsi="Arial" w:cs="Arial"/>
          <w:b/>
          <w:sz w:val="16"/>
          <w:szCs w:val="16"/>
        </w:rPr>
      </w:pPr>
    </w:p>
    <w:p w:rsidR="006D5B0F" w:rsidRDefault="006D5B0F" w:rsidP="006D5B0F">
      <w:pPr>
        <w:autoSpaceDE w:val="0"/>
        <w:autoSpaceDN w:val="0"/>
        <w:adjustRightInd w:val="0"/>
        <w:spacing w:line="360" w:lineRule="auto"/>
        <w:rPr>
          <w:rFonts w:ascii="Arial" w:hAnsi="Arial"/>
          <w:sz w:val="22"/>
        </w:rPr>
      </w:pPr>
      <w:r>
        <w:rPr>
          <w:rFonts w:ascii="Arial" w:hAnsi="Arial" w:cs="Arial"/>
          <w:sz w:val="22"/>
          <w:szCs w:val="22"/>
        </w:rPr>
        <w:t>Anfang</w:t>
      </w:r>
      <w:r w:rsidRPr="002B1DA3">
        <w:rPr>
          <w:rFonts w:ascii="Arial" w:hAnsi="Arial" w:cs="Arial"/>
          <w:sz w:val="22"/>
          <w:szCs w:val="22"/>
        </w:rPr>
        <w:t xml:space="preserve"> </w:t>
      </w:r>
      <w:r>
        <w:rPr>
          <w:rFonts w:ascii="Arial" w:hAnsi="Arial" w:cs="Arial"/>
          <w:sz w:val="22"/>
          <w:szCs w:val="22"/>
        </w:rPr>
        <w:t>2018 trat d</w:t>
      </w:r>
      <w:r w:rsidRPr="002B1DA3">
        <w:rPr>
          <w:rFonts w:ascii="Arial" w:hAnsi="Arial" w:cs="Arial"/>
          <w:sz w:val="22"/>
          <w:szCs w:val="22"/>
        </w:rPr>
        <w:t xml:space="preserve">ie </w:t>
      </w:r>
      <w:r>
        <w:rPr>
          <w:rFonts w:ascii="Arial" w:hAnsi="Arial" w:cs="Arial"/>
          <w:sz w:val="22"/>
          <w:szCs w:val="22"/>
        </w:rPr>
        <w:t>neue EU-</w:t>
      </w:r>
      <w:r w:rsidRPr="002B1DA3">
        <w:rPr>
          <w:rFonts w:ascii="Arial" w:hAnsi="Arial" w:cs="Arial"/>
          <w:sz w:val="22"/>
          <w:szCs w:val="22"/>
        </w:rPr>
        <w:t xml:space="preserve">Zahlungsrichtlinie </w:t>
      </w:r>
      <w:r>
        <w:rPr>
          <w:rFonts w:ascii="Arial" w:hAnsi="Arial" w:cs="Arial"/>
          <w:sz w:val="22"/>
          <w:szCs w:val="22"/>
        </w:rPr>
        <w:t xml:space="preserve">PSD2 </w:t>
      </w:r>
      <w:r w:rsidRPr="002B1DA3">
        <w:rPr>
          <w:rFonts w:ascii="Arial" w:hAnsi="Arial" w:cs="Arial"/>
          <w:sz w:val="22"/>
          <w:szCs w:val="22"/>
        </w:rPr>
        <w:t>in Kraft. Die</w:t>
      </w:r>
      <w:r>
        <w:rPr>
          <w:rFonts w:ascii="Arial" w:hAnsi="Arial" w:cs="Arial"/>
          <w:sz w:val="22"/>
          <w:szCs w:val="22"/>
        </w:rPr>
        <w:t>se</w:t>
      </w:r>
      <w:r w:rsidRPr="002B1DA3">
        <w:rPr>
          <w:rFonts w:ascii="Arial" w:hAnsi="Arial" w:cs="Arial"/>
          <w:sz w:val="22"/>
          <w:szCs w:val="22"/>
        </w:rPr>
        <w:t xml:space="preserve"> soll den euro</w:t>
      </w:r>
      <w:r>
        <w:rPr>
          <w:rFonts w:ascii="Arial" w:hAnsi="Arial" w:cs="Arial"/>
          <w:sz w:val="22"/>
          <w:szCs w:val="22"/>
        </w:rPr>
        <w:softHyphen/>
      </w:r>
      <w:r w:rsidRPr="002B1DA3">
        <w:rPr>
          <w:rFonts w:ascii="Arial" w:hAnsi="Arial" w:cs="Arial"/>
          <w:sz w:val="22"/>
          <w:szCs w:val="22"/>
        </w:rPr>
        <w:t xml:space="preserve">päischen Zahlungsverkehr </w:t>
      </w:r>
      <w:r>
        <w:rPr>
          <w:rFonts w:ascii="Arial" w:hAnsi="Arial" w:cs="Arial"/>
          <w:sz w:val="22"/>
          <w:szCs w:val="22"/>
        </w:rPr>
        <w:t>für den Verbraucher transpa</w:t>
      </w:r>
      <w:r>
        <w:rPr>
          <w:rFonts w:ascii="Arial" w:hAnsi="Arial" w:cs="Arial"/>
          <w:sz w:val="22"/>
          <w:szCs w:val="22"/>
        </w:rPr>
        <w:softHyphen/>
        <w:t>renter</w:t>
      </w:r>
      <w:r w:rsidRPr="002B1DA3">
        <w:rPr>
          <w:rFonts w:ascii="Arial" w:hAnsi="Arial" w:cs="Arial"/>
          <w:sz w:val="22"/>
          <w:szCs w:val="22"/>
        </w:rPr>
        <w:t xml:space="preserve">, sicherer und bequemer </w:t>
      </w:r>
      <w:r>
        <w:rPr>
          <w:rFonts w:ascii="Arial" w:hAnsi="Arial" w:cs="Arial"/>
          <w:sz w:val="22"/>
          <w:szCs w:val="22"/>
        </w:rPr>
        <w:t>gestalten. Die EU-</w:t>
      </w:r>
      <w:r>
        <w:rPr>
          <w:rFonts w:ascii="Arial" w:hAnsi="Arial"/>
          <w:sz w:val="22"/>
        </w:rPr>
        <w:t>Richtlinie</w:t>
      </w:r>
      <w:r w:rsidRPr="008C4AC5">
        <w:rPr>
          <w:rFonts w:ascii="Arial" w:hAnsi="Arial"/>
          <w:sz w:val="22"/>
        </w:rPr>
        <w:t xml:space="preserve"> </w:t>
      </w:r>
      <w:r>
        <w:rPr>
          <w:rFonts w:ascii="Arial" w:hAnsi="Arial"/>
          <w:sz w:val="22"/>
        </w:rPr>
        <w:t>bedingt unter anderem</w:t>
      </w:r>
      <w:r w:rsidRPr="00086D9B">
        <w:rPr>
          <w:rFonts w:ascii="Arial" w:hAnsi="Arial"/>
          <w:sz w:val="22"/>
        </w:rPr>
        <w:t>, dass bis Mitte September 2019 im Online-Handel die sogenannte Zwei-Faktor-Authenti</w:t>
      </w:r>
      <w:r w:rsidRPr="00086D9B">
        <w:rPr>
          <w:rFonts w:ascii="Arial" w:hAnsi="Arial"/>
          <w:sz w:val="22"/>
        </w:rPr>
        <w:softHyphen/>
        <w:t>fizierung umgesetzt werden muss.</w:t>
      </w:r>
      <w:r w:rsidRPr="008C4AC5">
        <w:rPr>
          <w:rFonts w:ascii="Arial" w:hAnsi="Arial"/>
          <w:sz w:val="22"/>
        </w:rPr>
        <w:t xml:space="preserve"> Kunden </w:t>
      </w:r>
      <w:r>
        <w:rPr>
          <w:rFonts w:ascii="Arial" w:hAnsi="Arial"/>
          <w:sz w:val="22"/>
        </w:rPr>
        <w:t xml:space="preserve">müssen </w:t>
      </w:r>
      <w:r w:rsidRPr="008C4AC5">
        <w:rPr>
          <w:rFonts w:ascii="Arial" w:hAnsi="Arial"/>
          <w:sz w:val="22"/>
        </w:rPr>
        <w:t>dabei in der Regel</w:t>
      </w:r>
      <w:r>
        <w:rPr>
          <w:rFonts w:ascii="Arial" w:hAnsi="Arial"/>
          <w:sz w:val="22"/>
        </w:rPr>
        <w:t xml:space="preserve"> </w:t>
      </w:r>
      <w:r w:rsidRPr="008C4AC5">
        <w:rPr>
          <w:rFonts w:ascii="Arial" w:hAnsi="Arial"/>
          <w:sz w:val="22"/>
        </w:rPr>
        <w:t>zwei von drei Faktoren aus den Kategorien Wissen</w:t>
      </w:r>
      <w:r>
        <w:rPr>
          <w:rFonts w:ascii="Arial" w:hAnsi="Arial"/>
          <w:sz w:val="22"/>
        </w:rPr>
        <w:t xml:space="preserve"> (z.B. Passwort oder PIN)</w:t>
      </w:r>
      <w:r w:rsidRPr="008C4AC5">
        <w:rPr>
          <w:rFonts w:ascii="Arial" w:hAnsi="Arial"/>
          <w:sz w:val="22"/>
        </w:rPr>
        <w:t xml:space="preserve">, Besitz </w:t>
      </w:r>
      <w:r>
        <w:rPr>
          <w:rFonts w:ascii="Arial" w:hAnsi="Arial"/>
          <w:sz w:val="22"/>
        </w:rPr>
        <w:t xml:space="preserve">(z.B. Mobiltelefon oder Badge) </w:t>
      </w:r>
      <w:r w:rsidRPr="008C4AC5">
        <w:rPr>
          <w:rFonts w:ascii="Arial" w:hAnsi="Arial"/>
          <w:sz w:val="22"/>
        </w:rPr>
        <w:t xml:space="preserve">und Eigenschaften </w:t>
      </w:r>
      <w:r>
        <w:rPr>
          <w:rFonts w:ascii="Arial" w:hAnsi="Arial"/>
          <w:sz w:val="22"/>
        </w:rPr>
        <w:t>(z.B. Fingerab</w:t>
      </w:r>
      <w:r>
        <w:rPr>
          <w:rFonts w:ascii="Arial" w:hAnsi="Arial"/>
          <w:sz w:val="22"/>
        </w:rPr>
        <w:softHyphen/>
        <w:t xml:space="preserve">druck oder Stimme) vorweisen. </w:t>
      </w:r>
    </w:p>
    <w:p w:rsidR="006D5B0F" w:rsidRPr="00BD2EC6" w:rsidRDefault="006D5B0F" w:rsidP="006D5B0F">
      <w:pPr>
        <w:autoSpaceDE w:val="0"/>
        <w:autoSpaceDN w:val="0"/>
        <w:adjustRightInd w:val="0"/>
        <w:spacing w:line="360" w:lineRule="auto"/>
        <w:rPr>
          <w:rFonts w:ascii="Arial" w:hAnsi="Arial"/>
          <w:sz w:val="16"/>
          <w:szCs w:val="16"/>
        </w:rPr>
      </w:pPr>
    </w:p>
    <w:p w:rsidR="006D5B0F" w:rsidRDefault="006D5B0F" w:rsidP="006D5B0F">
      <w:pPr>
        <w:autoSpaceDE w:val="0"/>
        <w:autoSpaceDN w:val="0"/>
        <w:adjustRightInd w:val="0"/>
        <w:spacing w:line="360" w:lineRule="auto"/>
        <w:rPr>
          <w:rFonts w:ascii="Arial" w:hAnsi="Arial" w:cs="Arial"/>
          <w:sz w:val="22"/>
          <w:szCs w:val="22"/>
        </w:rPr>
      </w:pPr>
      <w:r w:rsidRPr="00B656A5">
        <w:rPr>
          <w:rFonts w:ascii="Arial" w:hAnsi="Arial" w:cs="Arial"/>
          <w:sz w:val="22"/>
          <w:szCs w:val="22"/>
        </w:rPr>
        <w:t>D</w:t>
      </w:r>
      <w:r>
        <w:rPr>
          <w:rFonts w:ascii="Arial" w:hAnsi="Arial" w:cs="Arial"/>
          <w:sz w:val="22"/>
          <w:szCs w:val="22"/>
        </w:rPr>
        <w:t>ie</w:t>
      </w:r>
      <w:r w:rsidRPr="00B656A5">
        <w:rPr>
          <w:rFonts w:ascii="Arial" w:hAnsi="Arial" w:cs="Arial"/>
          <w:sz w:val="22"/>
          <w:szCs w:val="22"/>
        </w:rPr>
        <w:t xml:space="preserve"> Frage, ob Online-</w:t>
      </w:r>
      <w:r>
        <w:rPr>
          <w:rFonts w:ascii="Arial" w:hAnsi="Arial" w:cs="Arial"/>
          <w:sz w:val="22"/>
          <w:szCs w:val="22"/>
        </w:rPr>
        <w:t>Konsumenten</w:t>
      </w:r>
      <w:r w:rsidRPr="00B656A5">
        <w:rPr>
          <w:rFonts w:ascii="Arial" w:hAnsi="Arial" w:cs="Arial"/>
          <w:sz w:val="22"/>
          <w:szCs w:val="22"/>
        </w:rPr>
        <w:t xml:space="preserve"> </w:t>
      </w:r>
      <w:r>
        <w:rPr>
          <w:rFonts w:ascii="Arial" w:hAnsi="Arial" w:cs="Arial"/>
          <w:sz w:val="22"/>
          <w:szCs w:val="22"/>
        </w:rPr>
        <w:t>künftig</w:t>
      </w:r>
      <w:r w:rsidRPr="00B656A5">
        <w:rPr>
          <w:rFonts w:ascii="Arial" w:hAnsi="Arial" w:cs="Arial"/>
          <w:sz w:val="22"/>
          <w:szCs w:val="22"/>
        </w:rPr>
        <w:t xml:space="preserve"> auch bei der Ertei</w:t>
      </w:r>
      <w:r>
        <w:rPr>
          <w:rFonts w:ascii="Arial" w:hAnsi="Arial" w:cs="Arial"/>
          <w:sz w:val="22"/>
          <w:szCs w:val="22"/>
        </w:rPr>
        <w:softHyphen/>
      </w:r>
      <w:r w:rsidRPr="00B656A5">
        <w:rPr>
          <w:rFonts w:ascii="Arial" w:hAnsi="Arial" w:cs="Arial"/>
          <w:sz w:val="22"/>
          <w:szCs w:val="22"/>
        </w:rPr>
        <w:t>lung eines Last</w:t>
      </w:r>
      <w:r>
        <w:rPr>
          <w:rFonts w:ascii="Arial" w:hAnsi="Arial" w:cs="Arial"/>
          <w:sz w:val="22"/>
          <w:szCs w:val="22"/>
        </w:rPr>
        <w:softHyphen/>
      </w:r>
      <w:r w:rsidRPr="00B656A5">
        <w:rPr>
          <w:rFonts w:ascii="Arial" w:hAnsi="Arial" w:cs="Arial"/>
          <w:sz w:val="22"/>
          <w:szCs w:val="22"/>
        </w:rPr>
        <w:t>schrift</w:t>
      </w:r>
      <w:r w:rsidRPr="00B656A5">
        <w:rPr>
          <w:rFonts w:ascii="Arial" w:hAnsi="Arial" w:cs="Arial"/>
          <w:sz w:val="22"/>
          <w:szCs w:val="22"/>
        </w:rPr>
        <w:softHyphen/>
        <w:t xml:space="preserve">mandats zwei Faktoren präsentieren müssen, </w:t>
      </w:r>
      <w:r>
        <w:rPr>
          <w:rFonts w:ascii="Arial" w:hAnsi="Arial" w:cs="Arial"/>
          <w:sz w:val="22"/>
          <w:szCs w:val="22"/>
        </w:rPr>
        <w:t>ergab sich durch eine EBA-Stellung</w:t>
      </w:r>
      <w:r>
        <w:rPr>
          <w:rFonts w:ascii="Arial" w:hAnsi="Arial" w:cs="Arial"/>
          <w:sz w:val="22"/>
          <w:szCs w:val="22"/>
        </w:rPr>
        <w:softHyphen/>
        <w:t>nahme</w:t>
      </w:r>
      <w:r w:rsidRPr="00B656A5">
        <w:rPr>
          <w:rFonts w:ascii="Arial" w:hAnsi="Arial" w:cs="Arial"/>
          <w:sz w:val="22"/>
          <w:szCs w:val="22"/>
        </w:rPr>
        <w:t xml:space="preserve"> und führte zu Irri</w:t>
      </w:r>
      <w:r w:rsidRPr="00B656A5">
        <w:rPr>
          <w:rFonts w:ascii="Arial" w:hAnsi="Arial" w:cs="Arial"/>
          <w:sz w:val="22"/>
          <w:szCs w:val="22"/>
        </w:rPr>
        <w:softHyphen/>
        <w:t>tationen. Die Ba</w:t>
      </w:r>
      <w:r>
        <w:rPr>
          <w:rFonts w:ascii="Arial" w:hAnsi="Arial" w:cs="Arial"/>
          <w:sz w:val="22"/>
          <w:szCs w:val="22"/>
        </w:rPr>
        <w:t>F</w:t>
      </w:r>
      <w:r w:rsidRPr="00B656A5">
        <w:rPr>
          <w:rFonts w:ascii="Arial" w:hAnsi="Arial" w:cs="Arial"/>
          <w:sz w:val="22"/>
          <w:szCs w:val="22"/>
        </w:rPr>
        <w:t xml:space="preserve">in hat </w:t>
      </w:r>
      <w:r>
        <w:rPr>
          <w:rFonts w:ascii="Arial" w:hAnsi="Arial" w:cs="Arial"/>
          <w:sz w:val="22"/>
          <w:szCs w:val="22"/>
        </w:rPr>
        <w:t xml:space="preserve">nun </w:t>
      </w:r>
      <w:r w:rsidRPr="00B656A5">
        <w:rPr>
          <w:rFonts w:ascii="Arial" w:hAnsi="Arial" w:cs="Arial"/>
          <w:sz w:val="22"/>
          <w:szCs w:val="22"/>
        </w:rPr>
        <w:t>klargestellt, dass eine starke Kunden</w:t>
      </w:r>
      <w:r>
        <w:rPr>
          <w:rFonts w:ascii="Arial" w:hAnsi="Arial" w:cs="Arial"/>
          <w:sz w:val="22"/>
          <w:szCs w:val="22"/>
        </w:rPr>
        <w:softHyphen/>
      </w:r>
      <w:r w:rsidRPr="00B656A5">
        <w:rPr>
          <w:rFonts w:ascii="Arial" w:hAnsi="Arial" w:cs="Arial"/>
          <w:sz w:val="22"/>
          <w:szCs w:val="22"/>
        </w:rPr>
        <w:t xml:space="preserve">authentifizierung für eine Lastschrift nur dann </w:t>
      </w:r>
      <w:r>
        <w:rPr>
          <w:rFonts w:ascii="Arial" w:hAnsi="Arial" w:cs="Arial"/>
          <w:sz w:val="22"/>
          <w:szCs w:val="22"/>
        </w:rPr>
        <w:t>erforderlich</w:t>
      </w:r>
      <w:r w:rsidRPr="00B656A5">
        <w:rPr>
          <w:rFonts w:ascii="Arial" w:hAnsi="Arial" w:cs="Arial"/>
          <w:sz w:val="22"/>
          <w:szCs w:val="22"/>
        </w:rPr>
        <w:t xml:space="preserve"> ist, wenn die Bank des Zah</w:t>
      </w:r>
      <w:r>
        <w:rPr>
          <w:rFonts w:ascii="Arial" w:hAnsi="Arial" w:cs="Arial"/>
          <w:sz w:val="22"/>
          <w:szCs w:val="22"/>
        </w:rPr>
        <w:softHyphen/>
      </w:r>
      <w:r w:rsidRPr="00B656A5">
        <w:rPr>
          <w:rFonts w:ascii="Arial" w:hAnsi="Arial" w:cs="Arial"/>
          <w:sz w:val="22"/>
          <w:szCs w:val="22"/>
        </w:rPr>
        <w:t>lers bei der Ertei</w:t>
      </w:r>
      <w:r>
        <w:rPr>
          <w:rFonts w:ascii="Arial" w:hAnsi="Arial" w:cs="Arial"/>
          <w:sz w:val="22"/>
          <w:szCs w:val="22"/>
        </w:rPr>
        <w:softHyphen/>
      </w:r>
      <w:r w:rsidRPr="00B656A5">
        <w:rPr>
          <w:rFonts w:ascii="Arial" w:hAnsi="Arial" w:cs="Arial"/>
          <w:sz w:val="22"/>
          <w:szCs w:val="22"/>
        </w:rPr>
        <w:t xml:space="preserve">lung des Lastschriftmandats eingebunden ist. Das ist in Deutschland </w:t>
      </w:r>
      <w:r>
        <w:rPr>
          <w:rFonts w:ascii="Arial" w:hAnsi="Arial" w:cs="Arial"/>
          <w:sz w:val="22"/>
          <w:szCs w:val="22"/>
        </w:rPr>
        <w:t>fast</w:t>
      </w:r>
      <w:r w:rsidRPr="00B656A5">
        <w:rPr>
          <w:rFonts w:ascii="Arial" w:hAnsi="Arial" w:cs="Arial"/>
          <w:sz w:val="22"/>
          <w:szCs w:val="22"/>
        </w:rPr>
        <w:t xml:space="preserve"> nie der Fall. </w:t>
      </w:r>
    </w:p>
    <w:p w:rsidR="006D5B0F" w:rsidRPr="00B656A5" w:rsidRDefault="006D5B0F" w:rsidP="006D5B0F">
      <w:pPr>
        <w:autoSpaceDE w:val="0"/>
        <w:autoSpaceDN w:val="0"/>
        <w:adjustRightInd w:val="0"/>
        <w:spacing w:line="360" w:lineRule="auto"/>
        <w:rPr>
          <w:rFonts w:ascii="Arial" w:hAnsi="Arial" w:cs="Arial"/>
          <w:sz w:val="16"/>
          <w:szCs w:val="16"/>
        </w:rPr>
      </w:pPr>
    </w:p>
    <w:p w:rsidR="006D5B0F" w:rsidRPr="00685BA3" w:rsidRDefault="006D5B0F" w:rsidP="006D5B0F">
      <w:pPr>
        <w:autoSpaceDE w:val="0"/>
        <w:autoSpaceDN w:val="0"/>
        <w:adjustRightInd w:val="0"/>
        <w:spacing w:line="360" w:lineRule="auto"/>
        <w:rPr>
          <w:rFonts w:ascii="Arial" w:hAnsi="Arial" w:cs="Arial"/>
          <w:b/>
          <w:sz w:val="22"/>
          <w:szCs w:val="22"/>
        </w:rPr>
      </w:pPr>
      <w:r>
        <w:rPr>
          <w:rFonts w:ascii="Arial" w:hAnsi="Arial" w:cs="Arial"/>
          <w:b/>
          <w:sz w:val="22"/>
          <w:szCs w:val="22"/>
        </w:rPr>
        <w:t>Zwei-Faktor gleich Stör-Faktor im Digital Commerce?</w:t>
      </w:r>
    </w:p>
    <w:p w:rsidR="006D5B0F" w:rsidRDefault="006D5B0F" w:rsidP="006D5B0F">
      <w:pPr>
        <w:autoSpaceDE w:val="0"/>
        <w:autoSpaceDN w:val="0"/>
        <w:adjustRightInd w:val="0"/>
        <w:spacing w:line="360" w:lineRule="auto"/>
        <w:rPr>
          <w:rFonts w:ascii="Arial" w:hAnsi="Arial" w:cs="Arial"/>
          <w:color w:val="000000"/>
          <w:sz w:val="22"/>
          <w:szCs w:val="22"/>
        </w:rPr>
      </w:pPr>
      <w:r>
        <w:rPr>
          <w:rFonts w:ascii="Arial" w:hAnsi="Arial" w:cs="Arial"/>
          <w:sz w:val="22"/>
          <w:szCs w:val="22"/>
        </w:rPr>
        <w:t>„</w:t>
      </w:r>
      <w:r w:rsidRPr="00B656A5">
        <w:rPr>
          <w:rFonts w:ascii="Arial" w:hAnsi="Arial" w:cs="Arial"/>
          <w:color w:val="000000"/>
          <w:sz w:val="22"/>
          <w:szCs w:val="22"/>
        </w:rPr>
        <w:t xml:space="preserve">Der Handel hat lange versucht, PSD2 zu verdrängen </w:t>
      </w:r>
      <w:r>
        <w:rPr>
          <w:rFonts w:ascii="Arial" w:hAnsi="Arial" w:cs="Arial"/>
          <w:color w:val="000000"/>
          <w:sz w:val="22"/>
          <w:szCs w:val="22"/>
        </w:rPr>
        <w:t>bzw.</w:t>
      </w:r>
      <w:r w:rsidRPr="00B656A5">
        <w:rPr>
          <w:rFonts w:ascii="Arial" w:hAnsi="Arial" w:cs="Arial"/>
          <w:color w:val="000000"/>
          <w:sz w:val="22"/>
          <w:szCs w:val="22"/>
        </w:rPr>
        <w:t xml:space="preserve"> eine Veränderung oder einen Aufschub für die Anforderungen der </w:t>
      </w:r>
      <w:r>
        <w:rPr>
          <w:rFonts w:ascii="Arial" w:hAnsi="Arial" w:cs="Arial"/>
          <w:color w:val="000000"/>
          <w:sz w:val="22"/>
          <w:szCs w:val="22"/>
        </w:rPr>
        <w:t>starken Kundenauthentifizierung (</w:t>
      </w:r>
      <w:r w:rsidRPr="00B656A5">
        <w:rPr>
          <w:rFonts w:ascii="Arial" w:hAnsi="Arial" w:cs="Arial"/>
          <w:color w:val="000000"/>
          <w:sz w:val="22"/>
          <w:szCs w:val="22"/>
        </w:rPr>
        <w:t>SCA</w:t>
      </w:r>
      <w:r>
        <w:rPr>
          <w:rFonts w:ascii="Arial" w:hAnsi="Arial" w:cs="Arial"/>
          <w:color w:val="000000"/>
          <w:sz w:val="22"/>
          <w:szCs w:val="22"/>
        </w:rPr>
        <w:t>)</w:t>
      </w:r>
      <w:r w:rsidRPr="00B656A5">
        <w:rPr>
          <w:rFonts w:ascii="Arial" w:hAnsi="Arial" w:cs="Arial"/>
          <w:color w:val="000000"/>
          <w:sz w:val="22"/>
          <w:szCs w:val="22"/>
        </w:rPr>
        <w:t xml:space="preserve"> zu erwirken. </w:t>
      </w:r>
      <w:r>
        <w:rPr>
          <w:rFonts w:ascii="Arial" w:hAnsi="Arial" w:cs="Arial"/>
          <w:color w:val="000000"/>
          <w:sz w:val="22"/>
          <w:szCs w:val="22"/>
        </w:rPr>
        <w:t>D</w:t>
      </w:r>
      <w:r w:rsidRPr="00B656A5">
        <w:rPr>
          <w:rFonts w:ascii="Arial" w:hAnsi="Arial" w:cs="Arial"/>
          <w:color w:val="000000"/>
          <w:sz w:val="22"/>
          <w:szCs w:val="22"/>
        </w:rPr>
        <w:t xml:space="preserve">ie regulatorischen technischen </w:t>
      </w:r>
      <w:r>
        <w:rPr>
          <w:rFonts w:ascii="Arial" w:hAnsi="Arial" w:cs="Arial"/>
          <w:color w:val="000000"/>
          <w:sz w:val="22"/>
          <w:szCs w:val="22"/>
        </w:rPr>
        <w:t>Standards (RTS) sind</w:t>
      </w:r>
      <w:r w:rsidRPr="00B656A5">
        <w:rPr>
          <w:rFonts w:ascii="Arial" w:hAnsi="Arial" w:cs="Arial"/>
          <w:color w:val="000000"/>
          <w:sz w:val="22"/>
          <w:szCs w:val="22"/>
        </w:rPr>
        <w:t xml:space="preserve"> umsetzbar und auch </w:t>
      </w:r>
      <w:r w:rsidRPr="00B656A5">
        <w:rPr>
          <w:rFonts w:ascii="Arial" w:hAnsi="Arial" w:cs="Arial"/>
          <w:color w:val="000000"/>
          <w:sz w:val="22"/>
          <w:szCs w:val="22"/>
        </w:rPr>
        <w:lastRenderedPageBreak/>
        <w:t xml:space="preserve">sinnvoll. Nur leider wirkt sich insbesondere die Zwei-Faktor-Authentifizierung im ansonsten weitestgehend </w:t>
      </w:r>
      <w:r>
        <w:rPr>
          <w:rFonts w:ascii="Arial" w:hAnsi="Arial" w:cs="Arial"/>
          <w:color w:val="000000"/>
          <w:sz w:val="22"/>
          <w:szCs w:val="22"/>
        </w:rPr>
        <w:t>n</w:t>
      </w:r>
      <w:r w:rsidRPr="00B656A5">
        <w:rPr>
          <w:rFonts w:ascii="Arial" w:hAnsi="Arial" w:cs="Arial"/>
          <w:color w:val="000000"/>
          <w:sz w:val="22"/>
          <w:szCs w:val="22"/>
        </w:rPr>
        <w:t>utzeroptimierten Digital Commerce als Stör</w:t>
      </w:r>
      <w:r>
        <w:rPr>
          <w:rFonts w:ascii="Arial" w:hAnsi="Arial" w:cs="Arial"/>
          <w:color w:val="000000"/>
          <w:sz w:val="22"/>
          <w:szCs w:val="22"/>
        </w:rPr>
        <w:t>faktor</w:t>
      </w:r>
      <w:r w:rsidRPr="00B656A5">
        <w:rPr>
          <w:rFonts w:ascii="Arial" w:hAnsi="Arial" w:cs="Arial"/>
          <w:color w:val="000000"/>
          <w:sz w:val="22"/>
          <w:szCs w:val="22"/>
        </w:rPr>
        <w:t xml:space="preserve"> aus. Der Nutzer muss sich zukünftig bei vielen </w:t>
      </w:r>
      <w:r>
        <w:rPr>
          <w:rFonts w:ascii="Arial" w:hAnsi="Arial" w:cs="Arial"/>
          <w:color w:val="000000"/>
          <w:sz w:val="22"/>
          <w:szCs w:val="22"/>
        </w:rPr>
        <w:t>Zahlungsarten</w:t>
      </w:r>
      <w:r w:rsidRPr="00B656A5">
        <w:rPr>
          <w:rFonts w:ascii="Arial" w:hAnsi="Arial" w:cs="Arial"/>
          <w:color w:val="000000"/>
          <w:sz w:val="22"/>
          <w:szCs w:val="22"/>
        </w:rPr>
        <w:t xml:space="preserve"> anhand von zwei Faktoren authentifizieren. Ich denke, dass viele Privatkunden erstmal überfordert sein werden mit den zusätzlichen Autorisierungsmechanismen und den vielen nicht transparenten Ausnahmeregelungen der RTS</w:t>
      </w:r>
      <w:r>
        <w:rPr>
          <w:rFonts w:ascii="Arial" w:hAnsi="Arial" w:cs="Arial"/>
          <w:color w:val="000000"/>
          <w:sz w:val="22"/>
          <w:szCs w:val="22"/>
        </w:rPr>
        <w:t>“, erklärt Adrian Brosterhues-</w:t>
      </w:r>
      <w:proofErr w:type="spellStart"/>
      <w:r>
        <w:rPr>
          <w:rFonts w:ascii="Arial" w:hAnsi="Arial" w:cs="Arial"/>
          <w:color w:val="000000"/>
          <w:sz w:val="22"/>
          <w:szCs w:val="22"/>
        </w:rPr>
        <w:t>Niedziolka</w:t>
      </w:r>
      <w:proofErr w:type="spellEnd"/>
      <w:r>
        <w:rPr>
          <w:rFonts w:ascii="Arial" w:hAnsi="Arial" w:cs="Arial"/>
          <w:color w:val="000000"/>
          <w:sz w:val="22"/>
          <w:szCs w:val="22"/>
        </w:rPr>
        <w:t xml:space="preserve">, </w:t>
      </w:r>
      <w:r w:rsidRPr="00EC415B">
        <w:rPr>
          <w:rFonts w:ascii="Arial" w:hAnsi="Arial" w:cs="Arial"/>
          <w:sz w:val="22"/>
          <w:szCs w:val="22"/>
        </w:rPr>
        <w:t>Leiter Projekt</w:t>
      </w:r>
      <w:r>
        <w:rPr>
          <w:rFonts w:ascii="Arial" w:hAnsi="Arial" w:cs="Arial"/>
          <w:sz w:val="22"/>
          <w:szCs w:val="22"/>
        </w:rPr>
        <w:softHyphen/>
      </w:r>
      <w:r w:rsidRPr="00EC415B">
        <w:rPr>
          <w:rFonts w:ascii="Arial" w:hAnsi="Arial" w:cs="Arial"/>
          <w:sz w:val="22"/>
          <w:szCs w:val="22"/>
        </w:rPr>
        <w:t xml:space="preserve">management </w:t>
      </w:r>
      <w:proofErr w:type="spellStart"/>
      <w:r w:rsidRPr="00EC415B">
        <w:rPr>
          <w:rFonts w:ascii="Arial" w:hAnsi="Arial" w:cs="Arial"/>
          <w:sz w:val="22"/>
          <w:szCs w:val="22"/>
        </w:rPr>
        <w:t>Risk</w:t>
      </w:r>
      <w:proofErr w:type="spellEnd"/>
      <w:r w:rsidRPr="00EC415B">
        <w:rPr>
          <w:rFonts w:ascii="Arial" w:hAnsi="Arial" w:cs="Arial"/>
          <w:sz w:val="22"/>
          <w:szCs w:val="22"/>
        </w:rPr>
        <w:t xml:space="preserve"> Solutions der Creditreform Boniversum </w:t>
      </w:r>
      <w:r>
        <w:rPr>
          <w:rFonts w:ascii="Arial" w:hAnsi="Arial" w:cs="Arial"/>
          <w:sz w:val="22"/>
          <w:szCs w:val="22"/>
        </w:rPr>
        <w:t>GmbH.</w:t>
      </w:r>
    </w:p>
    <w:p w:rsidR="006D5B0F" w:rsidRPr="001B56FC" w:rsidRDefault="006D5B0F" w:rsidP="006D5B0F">
      <w:pPr>
        <w:autoSpaceDE w:val="0"/>
        <w:autoSpaceDN w:val="0"/>
        <w:adjustRightInd w:val="0"/>
        <w:spacing w:line="360" w:lineRule="auto"/>
        <w:rPr>
          <w:rFonts w:ascii="Arial" w:hAnsi="Arial" w:cs="Arial"/>
          <w:color w:val="000000"/>
          <w:sz w:val="16"/>
          <w:szCs w:val="16"/>
        </w:rPr>
      </w:pPr>
    </w:p>
    <w:p w:rsidR="006D5B0F" w:rsidRPr="001B56FC" w:rsidRDefault="006D5B0F" w:rsidP="006D5B0F">
      <w:pPr>
        <w:autoSpaceDE w:val="0"/>
        <w:autoSpaceDN w:val="0"/>
        <w:adjustRightInd w:val="0"/>
        <w:spacing w:line="360" w:lineRule="auto"/>
        <w:rPr>
          <w:rFonts w:ascii="Arial" w:hAnsi="Arial" w:cs="Arial"/>
          <w:b/>
          <w:color w:val="000000"/>
          <w:sz w:val="22"/>
          <w:szCs w:val="22"/>
        </w:rPr>
      </w:pPr>
      <w:r w:rsidRPr="001B56FC">
        <w:rPr>
          <w:rFonts w:ascii="Arial" w:hAnsi="Arial" w:cs="Arial"/>
          <w:b/>
          <w:color w:val="000000"/>
          <w:sz w:val="22"/>
          <w:szCs w:val="22"/>
        </w:rPr>
        <w:t>Lastschrift wird nicht geschwächt</w:t>
      </w:r>
      <w:r>
        <w:rPr>
          <w:rFonts w:ascii="Arial" w:hAnsi="Arial" w:cs="Arial"/>
          <w:b/>
          <w:color w:val="000000"/>
          <w:sz w:val="22"/>
          <w:szCs w:val="22"/>
        </w:rPr>
        <w:t xml:space="preserve"> – BaFin-Entscheidung</w:t>
      </w:r>
      <w:r w:rsidRPr="001B56FC">
        <w:rPr>
          <w:rFonts w:ascii="Arial" w:hAnsi="Arial" w:cs="Arial"/>
          <w:b/>
          <w:color w:val="000000"/>
          <w:sz w:val="22"/>
          <w:szCs w:val="22"/>
        </w:rPr>
        <w:t xml:space="preserve"> stärkt</w:t>
      </w:r>
      <w:r>
        <w:rPr>
          <w:rFonts w:ascii="Arial" w:hAnsi="Arial" w:cs="Arial"/>
          <w:b/>
          <w:color w:val="000000"/>
          <w:sz w:val="22"/>
          <w:szCs w:val="22"/>
        </w:rPr>
        <w:t xml:space="preserve"> sie</w:t>
      </w:r>
    </w:p>
    <w:p w:rsidR="006D5B0F" w:rsidRPr="00045504" w:rsidRDefault="006D5B0F" w:rsidP="006D5B0F">
      <w:pPr>
        <w:autoSpaceDE w:val="0"/>
        <w:autoSpaceDN w:val="0"/>
        <w:adjustRightInd w:val="0"/>
        <w:spacing w:line="360" w:lineRule="auto"/>
        <w:rPr>
          <w:rFonts w:ascii="Arial" w:hAnsi="Arial" w:cs="Arial"/>
          <w:color w:val="FF0000"/>
          <w:sz w:val="22"/>
          <w:szCs w:val="22"/>
        </w:rPr>
      </w:pPr>
      <w:r>
        <w:rPr>
          <w:rFonts w:ascii="Arial" w:hAnsi="Arial" w:cs="Arial"/>
          <w:color w:val="000000"/>
          <w:sz w:val="22"/>
          <w:szCs w:val="22"/>
        </w:rPr>
        <w:t>Adrian Brosterhues-</w:t>
      </w:r>
      <w:proofErr w:type="spellStart"/>
      <w:r>
        <w:rPr>
          <w:rFonts w:ascii="Arial" w:hAnsi="Arial" w:cs="Arial"/>
          <w:color w:val="000000"/>
          <w:sz w:val="22"/>
          <w:szCs w:val="22"/>
        </w:rPr>
        <w:t>Niedziolka</w:t>
      </w:r>
      <w:proofErr w:type="spellEnd"/>
      <w:r>
        <w:rPr>
          <w:rFonts w:ascii="Arial" w:hAnsi="Arial" w:cs="Arial"/>
          <w:color w:val="000000"/>
          <w:sz w:val="22"/>
          <w:szCs w:val="22"/>
        </w:rPr>
        <w:t xml:space="preserve"> beschreibt die Auswirkungen für den Zahlungsverkehr: „Die PSD2 macht den Zahlungsverkehr für den Verbraucher wie geplant sicherer, aber nicht unbedingt bequemer. </w:t>
      </w:r>
      <w:r w:rsidRPr="00B656A5">
        <w:rPr>
          <w:rFonts w:ascii="Arial" w:hAnsi="Arial" w:cs="Arial"/>
          <w:color w:val="000000"/>
          <w:sz w:val="22"/>
          <w:szCs w:val="22"/>
        </w:rPr>
        <w:t>D</w:t>
      </w:r>
      <w:r>
        <w:rPr>
          <w:rFonts w:ascii="Arial" w:hAnsi="Arial" w:cs="Arial"/>
          <w:color w:val="000000"/>
          <w:sz w:val="22"/>
          <w:szCs w:val="22"/>
        </w:rPr>
        <w:t>ie starke Kundenauthentifizierung</w:t>
      </w:r>
      <w:r w:rsidRPr="00B656A5">
        <w:rPr>
          <w:rFonts w:ascii="Arial" w:hAnsi="Arial" w:cs="Arial"/>
          <w:color w:val="000000"/>
          <w:sz w:val="22"/>
          <w:szCs w:val="22"/>
        </w:rPr>
        <w:t xml:space="preserve"> wird die </w:t>
      </w:r>
      <w:r w:rsidRPr="00213291">
        <w:rPr>
          <w:rFonts w:ascii="Arial" w:hAnsi="Arial" w:cs="Arial"/>
          <w:sz w:val="22"/>
          <w:szCs w:val="22"/>
        </w:rPr>
        <w:t>Konversions</w:t>
      </w:r>
      <w:r w:rsidRPr="00213291">
        <w:rPr>
          <w:rFonts w:ascii="Arial" w:hAnsi="Arial" w:cs="Arial"/>
          <w:sz w:val="22"/>
          <w:szCs w:val="22"/>
        </w:rPr>
        <w:softHyphen/>
        <w:t>raten bei vielen Händlern verringern. Das wird dem Digital Commerce insge</w:t>
      </w:r>
      <w:r w:rsidRPr="00213291">
        <w:rPr>
          <w:rFonts w:ascii="Arial" w:hAnsi="Arial" w:cs="Arial"/>
          <w:sz w:val="22"/>
          <w:szCs w:val="22"/>
        </w:rPr>
        <w:softHyphen/>
        <w:t>samt für eine gewisse Zeit schaden. Da Rechnung und Lastschrift als Zahl</w:t>
      </w:r>
      <w:r>
        <w:rPr>
          <w:rFonts w:ascii="Arial" w:hAnsi="Arial" w:cs="Arial"/>
          <w:sz w:val="22"/>
          <w:szCs w:val="22"/>
        </w:rPr>
        <w:t>ungs</w:t>
      </w:r>
      <w:r w:rsidRPr="00213291">
        <w:rPr>
          <w:rFonts w:ascii="Arial" w:hAnsi="Arial" w:cs="Arial"/>
          <w:sz w:val="22"/>
          <w:szCs w:val="22"/>
        </w:rPr>
        <w:t>verfahren nicht betroffen sind, werden vor allem größere Händler oder Plattformen bzw. Markt</w:t>
      </w:r>
      <w:r w:rsidRPr="00213291">
        <w:rPr>
          <w:rFonts w:ascii="Arial" w:hAnsi="Arial" w:cs="Arial"/>
          <w:sz w:val="22"/>
          <w:szCs w:val="22"/>
        </w:rPr>
        <w:softHyphen/>
        <w:t>plätze, die ent</w:t>
      </w:r>
      <w:r w:rsidRPr="00213291">
        <w:rPr>
          <w:rFonts w:ascii="Arial" w:hAnsi="Arial" w:cs="Arial"/>
          <w:sz w:val="22"/>
          <w:szCs w:val="22"/>
        </w:rPr>
        <w:softHyphen/>
        <w:t>sprechende Prozesse etabliert haben und das Risiko steuern können, davon profitieren.“</w:t>
      </w:r>
    </w:p>
    <w:p w:rsidR="006D5B0F" w:rsidRPr="00BA12D0" w:rsidRDefault="006D5B0F" w:rsidP="006D5B0F">
      <w:pPr>
        <w:autoSpaceDE w:val="0"/>
        <w:autoSpaceDN w:val="0"/>
        <w:adjustRightInd w:val="0"/>
        <w:spacing w:line="360" w:lineRule="auto"/>
        <w:rPr>
          <w:rFonts w:ascii="Arial" w:hAnsi="Arial" w:cs="Arial"/>
          <w:b/>
          <w:sz w:val="16"/>
          <w:szCs w:val="22"/>
        </w:rPr>
      </w:pPr>
    </w:p>
    <w:p w:rsidR="006D5B0F" w:rsidRPr="00B20EB9" w:rsidRDefault="006D5B0F" w:rsidP="006D5B0F">
      <w:pPr>
        <w:autoSpaceDE w:val="0"/>
        <w:autoSpaceDN w:val="0"/>
        <w:adjustRightInd w:val="0"/>
        <w:spacing w:line="360" w:lineRule="auto"/>
        <w:rPr>
          <w:rFonts w:ascii="Arial" w:hAnsi="Arial" w:cs="Arial"/>
          <w:b/>
          <w:sz w:val="22"/>
          <w:szCs w:val="22"/>
        </w:rPr>
      </w:pPr>
      <w:r>
        <w:rPr>
          <w:rFonts w:ascii="Arial" w:hAnsi="Arial"/>
          <w:sz w:val="22"/>
        </w:rPr>
        <w:t xml:space="preserve">Auch, wenn das Lastschriftverfahren wie gewohnt bestehen bleibt, so </w:t>
      </w:r>
      <w:r w:rsidRPr="00B660B4">
        <w:rPr>
          <w:rFonts w:ascii="Arial" w:hAnsi="Arial"/>
          <w:sz w:val="22"/>
        </w:rPr>
        <w:t>ändert die</w:t>
      </w:r>
      <w:r>
        <w:rPr>
          <w:rFonts w:ascii="Arial" w:hAnsi="Arial"/>
          <w:sz w:val="22"/>
        </w:rPr>
        <w:t xml:space="preserve"> PSD2 die</w:t>
      </w:r>
      <w:r w:rsidRPr="00B660B4">
        <w:rPr>
          <w:rFonts w:ascii="Arial" w:hAnsi="Arial"/>
          <w:sz w:val="22"/>
        </w:rPr>
        <w:t xml:space="preserve"> Spielregeln für digitale Transaktionen </w:t>
      </w:r>
      <w:r>
        <w:rPr>
          <w:rFonts w:ascii="Arial" w:hAnsi="Arial"/>
          <w:sz w:val="22"/>
        </w:rPr>
        <w:t>in einigen Bereichen grundlegend.</w:t>
      </w:r>
      <w:r>
        <w:rPr>
          <w:rFonts w:ascii="Arial" w:hAnsi="Arial" w:cs="Arial"/>
          <w:b/>
          <w:sz w:val="22"/>
          <w:szCs w:val="22"/>
        </w:rPr>
        <w:t xml:space="preserve"> </w:t>
      </w:r>
      <w:r>
        <w:rPr>
          <w:rFonts w:ascii="Arial" w:hAnsi="Arial"/>
          <w:sz w:val="22"/>
        </w:rPr>
        <w:t>Die Exper</w:t>
      </w:r>
      <w:r>
        <w:rPr>
          <w:rFonts w:ascii="Arial" w:hAnsi="Arial"/>
          <w:sz w:val="22"/>
        </w:rPr>
        <w:softHyphen/>
        <w:t>ten der Creditreform Boniversum GmbH empfehlen Online-Händlern daher, sich zeit</w:t>
      </w:r>
      <w:r>
        <w:rPr>
          <w:rFonts w:ascii="Arial" w:hAnsi="Arial"/>
          <w:sz w:val="22"/>
        </w:rPr>
        <w:softHyphen/>
        <w:t xml:space="preserve">nah und intensiv mit den Vorgaben, Möglichkeiten und Folgen der aktuellen </w:t>
      </w:r>
      <w:proofErr w:type="spellStart"/>
      <w:r>
        <w:rPr>
          <w:rFonts w:ascii="Arial" w:hAnsi="Arial"/>
          <w:sz w:val="22"/>
        </w:rPr>
        <w:t>Zahlungs</w:t>
      </w:r>
      <w:r>
        <w:rPr>
          <w:rFonts w:ascii="Arial" w:hAnsi="Arial"/>
          <w:sz w:val="22"/>
        </w:rPr>
        <w:softHyphen/>
        <w:t>dienste</w:t>
      </w:r>
      <w:r>
        <w:rPr>
          <w:rFonts w:ascii="Arial" w:hAnsi="Arial"/>
          <w:sz w:val="22"/>
        </w:rPr>
        <w:softHyphen/>
        <w:t>richtlinie</w:t>
      </w:r>
      <w:proofErr w:type="spellEnd"/>
      <w:r>
        <w:rPr>
          <w:rFonts w:ascii="Arial" w:hAnsi="Arial"/>
          <w:sz w:val="22"/>
        </w:rPr>
        <w:t xml:space="preserve"> zu befassen. Boniversum steht Online-Händlern hier mit seinen integrierten Risikomanagement-Lösungen ebenso zur Seite wie die </w:t>
      </w:r>
      <w:proofErr w:type="spellStart"/>
      <w:r>
        <w:rPr>
          <w:rFonts w:ascii="Arial" w:hAnsi="Arial"/>
          <w:sz w:val="22"/>
        </w:rPr>
        <w:t>CrefoPayment</w:t>
      </w:r>
      <w:proofErr w:type="spellEnd"/>
      <w:r>
        <w:rPr>
          <w:rFonts w:ascii="Arial" w:hAnsi="Arial"/>
          <w:sz w:val="22"/>
        </w:rPr>
        <w:t xml:space="preserve"> GmbH &amp; Co. KG mit ihrer umfassenden Payment-Komplettlösung </w:t>
      </w:r>
      <w:proofErr w:type="spellStart"/>
      <w:r>
        <w:rPr>
          <w:rFonts w:ascii="Arial" w:hAnsi="Arial"/>
          <w:sz w:val="22"/>
        </w:rPr>
        <w:t>CrefoPay</w:t>
      </w:r>
      <w:proofErr w:type="spellEnd"/>
      <w:r>
        <w:rPr>
          <w:rFonts w:ascii="Arial" w:hAnsi="Arial"/>
          <w:sz w:val="22"/>
        </w:rPr>
        <w:t>.</w:t>
      </w:r>
    </w:p>
    <w:p w:rsidR="006D5B0F" w:rsidRPr="00AB7A98" w:rsidRDefault="006D5B0F" w:rsidP="006D5B0F">
      <w:pPr>
        <w:autoSpaceDE w:val="0"/>
        <w:autoSpaceDN w:val="0"/>
        <w:adjustRightInd w:val="0"/>
        <w:spacing w:line="360" w:lineRule="auto"/>
        <w:rPr>
          <w:rFonts w:ascii="Arial" w:eastAsiaTheme="minorHAnsi" w:hAnsi="Arial" w:cs="Arial"/>
          <w:iCs/>
          <w:sz w:val="16"/>
          <w:szCs w:val="16"/>
          <w:lang w:eastAsia="en-US"/>
        </w:rPr>
      </w:pPr>
      <w:r w:rsidRPr="00D14411">
        <w:rPr>
          <w:rFonts w:ascii="Arial" w:hAnsi="Arial" w:cs="Arial"/>
          <w:sz w:val="24"/>
          <w:szCs w:val="24"/>
        </w:rPr>
        <w:t xml:space="preserve"> </w:t>
      </w:r>
    </w:p>
    <w:p w:rsidR="006D5B0F" w:rsidRDefault="006D5B0F" w:rsidP="006D5B0F">
      <w:pPr>
        <w:autoSpaceDE w:val="0"/>
        <w:autoSpaceDN w:val="0"/>
        <w:adjustRightInd w:val="0"/>
        <w:spacing w:line="360" w:lineRule="auto"/>
        <w:rPr>
          <w:rFonts w:ascii="Arial" w:hAnsi="Arial" w:cs="Arial"/>
          <w:i/>
        </w:rPr>
      </w:pPr>
      <w:r>
        <w:rPr>
          <w:rFonts w:ascii="Arial" w:hAnsi="Arial" w:cs="Arial"/>
          <w:i/>
        </w:rPr>
        <w:t>Zeichenzahl: 3.959</w:t>
      </w:r>
    </w:p>
    <w:p w:rsidR="006D5B0F" w:rsidRDefault="006D5B0F" w:rsidP="006D5B0F">
      <w:pPr>
        <w:autoSpaceDE w:val="0"/>
        <w:autoSpaceDN w:val="0"/>
        <w:adjustRightInd w:val="0"/>
        <w:spacing w:line="360" w:lineRule="auto"/>
        <w:rPr>
          <w:rFonts w:ascii="Arial" w:hAnsi="Arial" w:cs="Arial"/>
          <w:i/>
        </w:rPr>
      </w:pPr>
    </w:p>
    <w:p w:rsidR="006D5B0F" w:rsidRDefault="006D5B0F" w:rsidP="006D5B0F">
      <w:pPr>
        <w:autoSpaceDE w:val="0"/>
        <w:autoSpaceDN w:val="0"/>
        <w:adjustRightInd w:val="0"/>
        <w:spacing w:line="360" w:lineRule="auto"/>
        <w:rPr>
          <w:rFonts w:ascii="Arial" w:eastAsiaTheme="minorHAnsi" w:hAnsi="Arial" w:cs="Arial"/>
          <w:iCs/>
          <w:sz w:val="22"/>
          <w:szCs w:val="22"/>
          <w:lang w:eastAsia="en-US"/>
        </w:rPr>
      </w:pPr>
      <w:r>
        <w:rPr>
          <w:noProof/>
        </w:rPr>
        <w:lastRenderedPageBreak/>
        <w:drawing>
          <wp:inline distT="0" distB="0" distL="0" distR="0" wp14:anchorId="10B14278" wp14:editId="16375F2F">
            <wp:extent cx="4546372" cy="30391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7436" cy="3039821"/>
                    </a:xfrm>
                    <a:prstGeom prst="rect">
                      <a:avLst/>
                    </a:prstGeom>
                  </pic:spPr>
                </pic:pic>
              </a:graphicData>
            </a:graphic>
          </wp:inline>
        </w:drawing>
      </w:r>
    </w:p>
    <w:p w:rsidR="006D5B0F" w:rsidRPr="006D5B0F" w:rsidRDefault="006D5B0F" w:rsidP="006D5B0F">
      <w:pPr>
        <w:tabs>
          <w:tab w:val="left" w:pos="6255"/>
        </w:tabs>
        <w:ind w:right="17"/>
        <w:rPr>
          <w:rFonts w:ascii="Arial" w:hAnsi="Arial" w:cs="Arial"/>
          <w:b/>
          <w:i/>
          <w:iCs/>
          <w:sz w:val="22"/>
          <w:szCs w:val="22"/>
        </w:rPr>
      </w:pPr>
      <w:r w:rsidRPr="006D5B0F">
        <w:rPr>
          <w:rFonts w:ascii="Arial" w:hAnsi="Arial" w:cs="Arial"/>
          <w:b/>
          <w:i/>
          <w:iCs/>
          <w:sz w:val="22"/>
          <w:szCs w:val="22"/>
        </w:rPr>
        <w:t xml:space="preserve">Es lebe die Lastschrift: </w:t>
      </w:r>
      <w:r w:rsidRPr="006D5B0F">
        <w:rPr>
          <w:rFonts w:ascii="Arial" w:hAnsi="Arial" w:cs="Arial"/>
          <w:b/>
          <w:i/>
          <w:iCs/>
          <w:sz w:val="22"/>
          <w:szCs w:val="22"/>
        </w:rPr>
        <w:br/>
        <w:t>Creditreform Boniversum GmbH begrüßt BaFin-Entscheidung</w:t>
      </w:r>
    </w:p>
    <w:p w:rsidR="006D5B0F" w:rsidRPr="006D5B0F" w:rsidRDefault="006D5B0F" w:rsidP="006D5B0F">
      <w:pPr>
        <w:autoSpaceDE w:val="0"/>
        <w:autoSpaceDN w:val="0"/>
        <w:adjustRightInd w:val="0"/>
        <w:rPr>
          <w:rFonts w:ascii="Arial" w:hAnsi="Arial" w:cs="Arial"/>
          <w:i/>
          <w:sz w:val="32"/>
          <w:szCs w:val="32"/>
        </w:rPr>
      </w:pPr>
    </w:p>
    <w:p w:rsidR="006D5B0F" w:rsidRDefault="006D5B0F" w:rsidP="006D5B0F">
      <w:pPr>
        <w:autoSpaceDE w:val="0"/>
        <w:autoSpaceDN w:val="0"/>
        <w:adjustRightInd w:val="0"/>
        <w:rPr>
          <w:rFonts w:ascii="Arial" w:hAnsi="Arial" w:cs="Arial"/>
          <w:b/>
          <w:bCs/>
          <w:u w:val="single"/>
        </w:rPr>
      </w:pPr>
      <w:r>
        <w:rPr>
          <w:rFonts w:ascii="Arial" w:hAnsi="Arial" w:cs="Arial"/>
          <w:b/>
          <w:bCs/>
          <w:u w:val="single"/>
        </w:rPr>
        <w:t>Kurzporträt Creditreform Boniversum GmbH:</w:t>
      </w:r>
    </w:p>
    <w:p w:rsidR="006D5B0F" w:rsidRDefault="006D5B0F" w:rsidP="006D5B0F">
      <w:pPr>
        <w:autoSpaceDE w:val="0"/>
        <w:autoSpaceDN w:val="0"/>
        <w:adjustRightInd w:val="0"/>
        <w:rPr>
          <w:rFonts w:ascii="Arial" w:hAnsi="Arial" w:cs="Arial"/>
          <w:b/>
          <w:bCs/>
          <w:sz w:val="16"/>
          <w:szCs w:val="16"/>
        </w:rPr>
      </w:pPr>
    </w:p>
    <w:p w:rsidR="006D5B0F" w:rsidRDefault="006D5B0F" w:rsidP="006D5B0F">
      <w:pPr>
        <w:widowControl w:val="0"/>
        <w:autoSpaceDE w:val="0"/>
        <w:autoSpaceDN w:val="0"/>
        <w:adjustRightInd w:val="0"/>
        <w:rPr>
          <w:rFonts w:ascii="Arial" w:eastAsiaTheme="minorHAnsi" w:hAnsi="Arial" w:cs="Helvetica"/>
          <w:b/>
          <w:color w:val="000000"/>
          <w:szCs w:val="28"/>
          <w:u w:val="single" w:color="000000"/>
          <w:lang w:eastAsia="en-US"/>
        </w:rPr>
      </w:pPr>
      <w:r>
        <w:rPr>
          <w:rFonts w:ascii="Arial" w:eastAsiaTheme="minorHAnsi" w:hAnsi="Arial" w:cs="Helvetica"/>
          <w:color w:val="000000"/>
          <w:szCs w:val="28"/>
          <w:lang w:eastAsia="en-US"/>
        </w:rPr>
        <w:t>Die Creditreform Boniversum GmbH (Boniversum) ist einer der führenden Anbieter von Bonitätsinformationen über Privatpersonen in Deutschland. Boniversum wurde 1997 gegründet und ist ein Unternehmen der Creditreform Gruppe. Das Unternehmen bietet Verbraucher</w:t>
      </w:r>
      <w:r>
        <w:rPr>
          <w:rFonts w:ascii="Arial" w:eastAsiaTheme="minorHAnsi" w:hAnsi="Arial" w:cs="Helvetica"/>
          <w:color w:val="000000"/>
          <w:szCs w:val="28"/>
          <w:lang w:eastAsia="en-US"/>
        </w:rPr>
        <w:softHyphen/>
        <w:t>informationen und integrierte Risikomanagementlösungen für die kreditgebende Wirtschaft wie Versandhändler, Online-Shops, Touristikunternehmen, Banken, Versicherungen, Wohnungs</w:t>
      </w:r>
      <w:r>
        <w:rPr>
          <w:rFonts w:ascii="Arial" w:eastAsiaTheme="minorHAnsi" w:hAnsi="Arial" w:cs="Helvetica"/>
          <w:color w:val="000000"/>
          <w:szCs w:val="28"/>
          <w:lang w:eastAsia="en-US"/>
        </w:rPr>
        <w:softHyphen/>
        <w:t xml:space="preserve">gesellschaften und viele mehr. Regelmäßig veröffentlicht Boniversum in Zusammenarbeit mit renommierten Partnern und Instituten umfangreiche Studien und Umfragen, um Trends frühzeitig vorherzusehen und Veränderungen im Verbraucher- bzw. Schuldnerverhalten oder in der Kreditaffinität sicher zu prognostizieren. </w:t>
      </w:r>
      <w:hyperlink r:id="rId9" w:history="1">
        <w:r w:rsidRPr="005D164A">
          <w:rPr>
            <w:rStyle w:val="Hyperlink"/>
            <w:rFonts w:ascii="Arial" w:eastAsiaTheme="minorHAnsi" w:hAnsi="Arial" w:cs="Helvetica"/>
            <w:szCs w:val="28"/>
            <w:lang w:eastAsia="en-US"/>
          </w:rPr>
          <w:t>www.boniversum.de</w:t>
        </w:r>
      </w:hyperlink>
    </w:p>
    <w:p w:rsidR="006D5B0F" w:rsidRPr="007F1F6A" w:rsidRDefault="006D5B0F" w:rsidP="006D5B0F">
      <w:pPr>
        <w:widowControl w:val="0"/>
        <w:autoSpaceDE w:val="0"/>
        <w:autoSpaceDN w:val="0"/>
        <w:adjustRightInd w:val="0"/>
        <w:rPr>
          <w:rFonts w:ascii="Arial" w:eastAsiaTheme="minorHAnsi" w:hAnsi="Arial" w:cs="Helvetica"/>
          <w:color w:val="000000"/>
          <w:szCs w:val="28"/>
          <w:lang w:eastAsia="en-US"/>
        </w:rPr>
      </w:pPr>
    </w:p>
    <w:tbl>
      <w:tblPr>
        <w:tblW w:w="9150" w:type="dxa"/>
        <w:tblInd w:w="-5" w:type="dxa"/>
        <w:tblBorders>
          <w:top w:val="single" w:sz="4" w:space="0" w:color="FFFFFF"/>
          <w:left w:val="single" w:sz="4" w:space="0" w:color="FFFFFF"/>
          <w:bottom w:val="single" w:sz="4" w:space="0" w:color="FFFFFF"/>
          <w:right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4188"/>
        <w:gridCol w:w="4962"/>
      </w:tblGrid>
      <w:tr w:rsidR="006D5B0F" w:rsidTr="004C6EEB">
        <w:trPr>
          <w:trHeight w:val="2904"/>
        </w:trPr>
        <w:tc>
          <w:tcPr>
            <w:tcW w:w="4188" w:type="dxa"/>
            <w:tcBorders>
              <w:top w:val="single" w:sz="4" w:space="0" w:color="FFFFFF"/>
              <w:left w:val="single" w:sz="4" w:space="0" w:color="FFFFFF"/>
              <w:bottom w:val="single" w:sz="4" w:space="0" w:color="FFFFFF"/>
              <w:right w:val="single" w:sz="4" w:space="0" w:color="FFFFFF"/>
            </w:tcBorders>
          </w:tcPr>
          <w:p w:rsidR="006D5B0F" w:rsidRDefault="006D5B0F" w:rsidP="004C6EEB">
            <w:pPr>
              <w:rPr>
                <w:rFonts w:ascii="Arial" w:hAnsi="Arial" w:cs="Arial"/>
                <w:b/>
                <w:bCs/>
                <w:color w:val="000000"/>
                <w:u w:val="single"/>
                <w:lang w:eastAsia="en-US"/>
              </w:rPr>
            </w:pPr>
          </w:p>
          <w:p w:rsidR="006D5B0F" w:rsidRDefault="006D5B0F" w:rsidP="004C6EEB">
            <w:pPr>
              <w:rPr>
                <w:rFonts w:ascii="Arial" w:hAnsi="Arial" w:cs="Arial"/>
                <w:b/>
                <w:bCs/>
                <w:color w:val="000000"/>
                <w:u w:val="single"/>
                <w:lang w:eastAsia="en-US"/>
              </w:rPr>
            </w:pPr>
            <w:r>
              <w:rPr>
                <w:rFonts w:ascii="Arial" w:hAnsi="Arial" w:cs="Arial"/>
                <w:b/>
                <w:bCs/>
                <w:color w:val="000000"/>
                <w:u w:val="single"/>
                <w:lang w:eastAsia="en-US"/>
              </w:rPr>
              <w:t>Weitere Informationen:</w:t>
            </w:r>
          </w:p>
          <w:p w:rsidR="006D5B0F" w:rsidRDefault="006D5B0F" w:rsidP="004C6EEB">
            <w:pPr>
              <w:rPr>
                <w:rFonts w:ascii="Arial" w:hAnsi="Arial" w:cs="Arial"/>
                <w:color w:val="000000"/>
                <w:lang w:eastAsia="en-US"/>
              </w:rPr>
            </w:pPr>
            <w:r>
              <w:rPr>
                <w:rFonts w:ascii="Arial" w:hAnsi="Arial"/>
                <w:lang w:eastAsia="en-US"/>
              </w:rPr>
              <w:t>Creditreform Boniversum GmbH</w:t>
            </w:r>
            <w:r>
              <w:rPr>
                <w:rFonts w:ascii="Arial" w:hAnsi="Arial"/>
                <w:lang w:eastAsia="en-US"/>
              </w:rPr>
              <w:br/>
            </w:r>
            <w:proofErr w:type="spellStart"/>
            <w:r>
              <w:rPr>
                <w:rFonts w:ascii="Arial" w:hAnsi="Arial" w:cs="Arial"/>
                <w:lang w:eastAsia="en-US"/>
              </w:rPr>
              <w:t>Hellersbergstraße</w:t>
            </w:r>
            <w:proofErr w:type="spellEnd"/>
            <w:r>
              <w:rPr>
                <w:rFonts w:ascii="Arial" w:hAnsi="Arial" w:cs="Arial"/>
                <w:lang w:eastAsia="en-US"/>
              </w:rPr>
              <w:t xml:space="preserve"> 11</w:t>
            </w:r>
            <w:r>
              <w:rPr>
                <w:rFonts w:ascii="Arial" w:hAnsi="Arial" w:cs="Arial"/>
                <w:color w:val="000000"/>
                <w:lang w:eastAsia="en-US"/>
              </w:rPr>
              <w:br/>
              <w:t>41460 Neuss</w:t>
            </w:r>
          </w:p>
          <w:p w:rsidR="006D5B0F" w:rsidRDefault="006D5B0F" w:rsidP="004C6EEB">
            <w:pPr>
              <w:rPr>
                <w:rFonts w:ascii="Arial" w:hAnsi="Arial" w:cs="Arial"/>
                <w:b/>
                <w:bCs/>
                <w:color w:val="000000"/>
                <w:u w:val="single"/>
                <w:lang w:eastAsia="en-US"/>
              </w:rPr>
            </w:pPr>
          </w:p>
          <w:p w:rsidR="006D5B0F" w:rsidRDefault="006D5B0F" w:rsidP="004C6EEB">
            <w:pPr>
              <w:rPr>
                <w:rFonts w:ascii="Arial" w:hAnsi="Arial" w:cs="Arial"/>
                <w:b/>
                <w:bCs/>
                <w:color w:val="000000"/>
                <w:u w:val="single"/>
                <w:lang w:eastAsia="en-US"/>
              </w:rPr>
            </w:pPr>
            <w:r>
              <w:rPr>
                <w:rFonts w:ascii="Arial" w:hAnsi="Arial" w:cs="Arial"/>
                <w:b/>
                <w:bCs/>
                <w:color w:val="000000"/>
                <w:u w:val="single"/>
                <w:lang w:val="sv-SE" w:eastAsia="en-US"/>
              </w:rPr>
              <w:t>Ansprechpartner:</w:t>
            </w:r>
          </w:p>
          <w:p w:rsidR="006D5B0F" w:rsidRDefault="006D5B0F" w:rsidP="004C6EEB">
            <w:pPr>
              <w:rPr>
                <w:rFonts w:ascii="Arial" w:hAnsi="Arial" w:cs="Arial"/>
                <w:b/>
                <w:bCs/>
                <w:color w:val="000000"/>
                <w:u w:val="single"/>
                <w:lang w:eastAsia="en-US"/>
              </w:rPr>
            </w:pPr>
            <w:r>
              <w:rPr>
                <w:rFonts w:ascii="Arial" w:hAnsi="Arial" w:cs="Arial"/>
                <w:color w:val="000000"/>
                <w:lang w:eastAsia="en-US"/>
              </w:rPr>
              <w:t>Aleksandra Gulba</w:t>
            </w:r>
          </w:p>
          <w:p w:rsidR="006D5B0F" w:rsidRDefault="006D5B0F" w:rsidP="004C6EEB">
            <w:pPr>
              <w:rPr>
                <w:rFonts w:ascii="Arial" w:hAnsi="Arial" w:cs="Arial"/>
                <w:bCs/>
                <w:i/>
                <w:color w:val="000000"/>
                <w:szCs w:val="16"/>
                <w:lang w:eastAsia="en-US"/>
              </w:rPr>
            </w:pPr>
            <w:r>
              <w:rPr>
                <w:rFonts w:ascii="Arial" w:hAnsi="Arial" w:cs="Arial"/>
                <w:bCs/>
                <w:i/>
                <w:color w:val="000000"/>
                <w:szCs w:val="16"/>
                <w:lang w:eastAsia="en-US"/>
              </w:rPr>
              <w:t>-Presseabteilung-</w:t>
            </w:r>
          </w:p>
          <w:p w:rsidR="006D5B0F" w:rsidRDefault="006D5B0F" w:rsidP="004C6EEB">
            <w:pPr>
              <w:rPr>
                <w:rFonts w:ascii="Arial" w:hAnsi="Arial"/>
                <w:lang w:eastAsia="en-US"/>
              </w:rPr>
            </w:pPr>
            <w:r>
              <w:rPr>
                <w:rFonts w:ascii="Arial" w:hAnsi="Arial" w:cs="Arial"/>
                <w:color w:val="000000"/>
                <w:lang w:val="sv-SE" w:eastAsia="en-US"/>
              </w:rPr>
              <w:t>Tel.: +49 (0)</w:t>
            </w:r>
            <w:r>
              <w:rPr>
                <w:rFonts w:ascii="Arial" w:hAnsi="Arial"/>
                <w:lang w:eastAsia="en-US"/>
              </w:rPr>
              <w:t xml:space="preserve"> 2131-109-5103</w:t>
            </w:r>
          </w:p>
          <w:p w:rsidR="006D5B0F" w:rsidRDefault="006D5B0F" w:rsidP="004C6EEB">
            <w:pPr>
              <w:rPr>
                <w:rFonts w:ascii="Arial" w:hAnsi="Arial" w:cs="Arial"/>
                <w:color w:val="000000"/>
                <w:lang w:eastAsia="en-US"/>
              </w:rPr>
            </w:pPr>
            <w:r>
              <w:rPr>
                <w:rFonts w:ascii="Arial" w:hAnsi="Arial" w:cs="Arial"/>
                <w:color w:val="000000"/>
                <w:lang w:eastAsia="en-US"/>
              </w:rPr>
              <w:t xml:space="preserve">E-Mail: </w:t>
            </w:r>
            <w:hyperlink r:id="rId10" w:history="1">
              <w:r>
                <w:rPr>
                  <w:rStyle w:val="Hyperlink"/>
                  <w:rFonts w:ascii="Arial" w:hAnsi="Arial" w:cs="Arial"/>
                  <w:lang w:eastAsia="en-US"/>
                </w:rPr>
                <w:t>a.gulba@boniversum.de</w:t>
              </w:r>
            </w:hyperlink>
          </w:p>
          <w:p w:rsidR="006D5B0F" w:rsidRDefault="009A6007" w:rsidP="004C6EEB">
            <w:pPr>
              <w:rPr>
                <w:rFonts w:ascii="Arial" w:hAnsi="Arial" w:cs="Arial"/>
                <w:color w:val="000000"/>
                <w:lang w:eastAsia="en-US"/>
              </w:rPr>
            </w:pPr>
            <w:hyperlink r:id="rId11" w:history="1">
              <w:r w:rsidR="006D5B0F">
                <w:rPr>
                  <w:rStyle w:val="Hyperlink"/>
                  <w:rFonts w:ascii="Arial" w:eastAsiaTheme="minorHAnsi" w:hAnsi="Arial" w:cs="Helvetica"/>
                  <w:szCs w:val="28"/>
                  <w:lang w:eastAsia="en-US"/>
                </w:rPr>
                <w:t>www.boniversum.de</w:t>
              </w:r>
            </w:hyperlink>
          </w:p>
        </w:tc>
        <w:tc>
          <w:tcPr>
            <w:tcW w:w="4962" w:type="dxa"/>
            <w:tcBorders>
              <w:top w:val="single" w:sz="4" w:space="0" w:color="FFFFFF"/>
              <w:left w:val="single" w:sz="4" w:space="0" w:color="FFFFFF"/>
              <w:bottom w:val="single" w:sz="4" w:space="0" w:color="FFFFFF"/>
              <w:right w:val="single" w:sz="4" w:space="0" w:color="FFFFFF"/>
            </w:tcBorders>
          </w:tcPr>
          <w:p w:rsidR="006D5B0F" w:rsidRDefault="006D5B0F" w:rsidP="004C6EEB">
            <w:pPr>
              <w:tabs>
                <w:tab w:val="left" w:pos="3350"/>
              </w:tabs>
              <w:rPr>
                <w:rFonts w:ascii="Arial" w:hAnsi="Arial" w:cs="Arial"/>
                <w:b/>
                <w:bCs/>
                <w:color w:val="000000"/>
                <w:u w:val="single"/>
                <w:lang w:eastAsia="en-US"/>
              </w:rPr>
            </w:pPr>
          </w:p>
          <w:p w:rsidR="006D5B0F" w:rsidRDefault="006D5B0F" w:rsidP="004C6EEB">
            <w:pPr>
              <w:tabs>
                <w:tab w:val="left" w:pos="3350"/>
              </w:tabs>
              <w:rPr>
                <w:rFonts w:ascii="Arial" w:hAnsi="Arial" w:cs="Arial"/>
                <w:color w:val="000000"/>
                <w:lang w:eastAsia="en-US"/>
              </w:rPr>
            </w:pPr>
            <w:r>
              <w:rPr>
                <w:rFonts w:ascii="Arial" w:hAnsi="Arial" w:cs="Arial"/>
                <w:b/>
                <w:bCs/>
                <w:color w:val="000000"/>
                <w:u w:val="single"/>
                <w:lang w:eastAsia="en-US"/>
              </w:rPr>
              <w:t>PR-Agentur:</w:t>
            </w:r>
            <w:r>
              <w:rPr>
                <w:rFonts w:ascii="Arial" w:hAnsi="Arial" w:cs="Arial"/>
                <w:color w:val="000000"/>
                <w:lang w:eastAsia="en-US"/>
              </w:rPr>
              <w:br/>
              <w:t>punctum pr-agentur GmbH</w:t>
            </w:r>
            <w:r>
              <w:rPr>
                <w:rFonts w:ascii="Arial" w:hAnsi="Arial" w:cs="Arial"/>
                <w:color w:val="000000"/>
                <w:lang w:eastAsia="en-US"/>
              </w:rPr>
              <w:br/>
              <w:t>Neuer Zollhof 3</w:t>
            </w:r>
            <w:r>
              <w:rPr>
                <w:rFonts w:ascii="Arial" w:hAnsi="Arial" w:cs="Arial"/>
                <w:color w:val="000000"/>
                <w:lang w:eastAsia="en-US"/>
              </w:rPr>
              <w:br/>
              <w:t>40221 Düsseldorf</w:t>
            </w:r>
            <w:r>
              <w:rPr>
                <w:rFonts w:ascii="Arial" w:hAnsi="Arial" w:cs="Arial"/>
                <w:color w:val="000000"/>
                <w:lang w:eastAsia="en-US"/>
              </w:rPr>
              <w:br/>
            </w:r>
            <w:r>
              <w:rPr>
                <w:rFonts w:ascii="Arial" w:hAnsi="Arial" w:cs="Arial"/>
                <w:color w:val="000000"/>
                <w:lang w:eastAsia="en-US"/>
              </w:rPr>
              <w:br/>
            </w:r>
            <w:r>
              <w:rPr>
                <w:rFonts w:ascii="Arial" w:hAnsi="Arial" w:cs="Arial"/>
                <w:b/>
                <w:bCs/>
                <w:color w:val="000000"/>
                <w:u w:val="single"/>
                <w:lang w:eastAsia="en-US"/>
              </w:rPr>
              <w:t>Ansprechpartner:</w:t>
            </w:r>
            <w:r>
              <w:rPr>
                <w:rFonts w:ascii="Arial" w:hAnsi="Arial" w:cs="Arial"/>
                <w:color w:val="000000"/>
                <w:lang w:eastAsia="en-US"/>
              </w:rPr>
              <w:br/>
              <w:t>Ulrike Peter</w:t>
            </w:r>
          </w:p>
          <w:p w:rsidR="006D5B0F" w:rsidRDefault="006D5B0F" w:rsidP="004C6EEB">
            <w:pPr>
              <w:tabs>
                <w:tab w:val="left" w:pos="3350"/>
              </w:tabs>
              <w:rPr>
                <w:rFonts w:ascii="Arial" w:hAnsi="Arial" w:cs="Arial"/>
                <w:color w:val="000000"/>
                <w:lang w:eastAsia="en-US"/>
              </w:rPr>
            </w:pPr>
            <w:r>
              <w:rPr>
                <w:rFonts w:ascii="Arial" w:hAnsi="Arial" w:cs="Arial"/>
                <w:bCs/>
                <w:i/>
                <w:color w:val="000000"/>
                <w:lang w:eastAsia="en-US"/>
              </w:rPr>
              <w:t>-Geschäftsführerin-</w:t>
            </w:r>
            <w:r>
              <w:rPr>
                <w:rFonts w:ascii="Arial" w:hAnsi="Arial" w:cs="Arial"/>
                <w:color w:val="000000"/>
                <w:lang w:eastAsia="en-US"/>
              </w:rPr>
              <w:br/>
              <w:t>Tel.: +49 (0) 211-9717977-0</w:t>
            </w:r>
          </w:p>
          <w:p w:rsidR="006D5B0F" w:rsidRDefault="006D5B0F" w:rsidP="004C6EEB">
            <w:pPr>
              <w:tabs>
                <w:tab w:val="left" w:pos="3350"/>
              </w:tabs>
              <w:rPr>
                <w:rFonts w:ascii="Arial" w:hAnsi="Arial" w:cs="Arial"/>
                <w:lang w:eastAsia="en-US"/>
              </w:rPr>
            </w:pPr>
            <w:r>
              <w:rPr>
                <w:rFonts w:ascii="Arial" w:hAnsi="Arial" w:cs="Arial"/>
                <w:color w:val="000000"/>
                <w:lang w:val="pt-BR" w:eastAsia="en-US"/>
              </w:rPr>
              <w:t xml:space="preserve">E-Mail: </w:t>
            </w:r>
            <w:hyperlink r:id="rId12" w:history="1">
              <w:r>
                <w:rPr>
                  <w:rStyle w:val="Hyperlink"/>
                  <w:rFonts w:ascii="Arial" w:hAnsi="Arial" w:cs="Arial"/>
                  <w:lang w:val="pt-BR" w:eastAsia="en-US"/>
                </w:rPr>
                <w:t>pr@punctum-pr.de</w:t>
              </w:r>
            </w:hyperlink>
          </w:p>
          <w:p w:rsidR="006D5B0F" w:rsidRPr="00D14411" w:rsidRDefault="009A6007" w:rsidP="004C6EEB">
            <w:pPr>
              <w:tabs>
                <w:tab w:val="left" w:pos="3350"/>
              </w:tabs>
              <w:rPr>
                <w:color w:val="0000FF"/>
                <w:u w:val="single"/>
              </w:rPr>
            </w:pPr>
            <w:hyperlink r:id="rId13" w:history="1">
              <w:r w:rsidR="006D5B0F">
                <w:rPr>
                  <w:rStyle w:val="Hyperlink"/>
                  <w:rFonts w:ascii="Arial" w:hAnsi="Arial" w:cs="Arial"/>
                  <w:lang w:eastAsia="en-US"/>
                </w:rPr>
                <w:t>www.punctum-pr.de</w:t>
              </w:r>
            </w:hyperlink>
            <w:r w:rsidR="006D5B0F">
              <w:rPr>
                <w:rStyle w:val="Hyperlink"/>
              </w:rPr>
              <w:t xml:space="preserve"> </w:t>
            </w:r>
          </w:p>
        </w:tc>
      </w:tr>
    </w:tbl>
    <w:p w:rsidR="006D5B0F" w:rsidRPr="00F27C82" w:rsidRDefault="006D5B0F" w:rsidP="006D5B0F"/>
    <w:p w:rsidR="003B569E" w:rsidRPr="006D5B0F" w:rsidRDefault="003B569E" w:rsidP="006D5B0F"/>
    <w:sectPr w:rsidR="003B569E" w:rsidRPr="006D5B0F" w:rsidSect="00FA1FAA">
      <w:headerReference w:type="default" r:id="rId14"/>
      <w:pgSz w:w="11900" w:h="16840"/>
      <w:pgMar w:top="2495" w:right="1977" w:bottom="1134" w:left="1417" w:header="68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264" w:rsidRDefault="007C3264">
      <w:r>
        <w:separator/>
      </w:r>
    </w:p>
  </w:endnote>
  <w:endnote w:type="continuationSeparator" w:id="0">
    <w:p w:rsidR="007C3264" w:rsidRDefault="007C3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Helvetica">
    <w:panose1 w:val="020B0604020202020204"/>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264" w:rsidRDefault="007C3264">
      <w:r>
        <w:separator/>
      </w:r>
    </w:p>
  </w:footnote>
  <w:footnote w:type="continuationSeparator" w:id="0">
    <w:p w:rsidR="007C3264" w:rsidRDefault="007C3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1D3" w:rsidRDefault="005659AB" w:rsidP="001D65A7">
    <w:pPr>
      <w:pStyle w:val="Kopfzeile"/>
      <w:tabs>
        <w:tab w:val="clear" w:pos="4536"/>
        <w:tab w:val="clear" w:pos="9072"/>
        <w:tab w:val="left" w:pos="6773"/>
      </w:tabs>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-447675</wp:posOffset>
          </wp:positionV>
          <wp:extent cx="7559040" cy="1405467"/>
          <wp:effectExtent l="25400" t="0" r="10160" b="0"/>
          <wp:wrapNone/>
          <wp:docPr id="3" name="Grafik 3" descr=":boniversum-neu-neues 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iversum-neu-neues Logo3.jpg"/>
                  <pic:cNvPicPr>
                    <a:picLocks noChangeAspect="1" noChangeArrowheads="1"/>
                  </pic:cNvPicPr>
                </pic:nvPicPr>
                <pic:blipFill>
                  <a:blip r:embed="rId1"/>
                  <a:srcRect/>
                  <a:stretch>
                    <a:fillRect/>
                  </a:stretch>
                </pic:blipFill>
                <pic:spPr bwMode="auto">
                  <a:xfrm>
                    <a:off x="0" y="0"/>
                    <a:ext cx="7559040" cy="140546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B4623F"/>
    <w:multiLevelType w:val="hybridMultilevel"/>
    <w:tmpl w:val="8B2697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767"/>
    <w:rsid w:val="000062E0"/>
    <w:rsid w:val="00007703"/>
    <w:rsid w:val="00013595"/>
    <w:rsid w:val="0001369C"/>
    <w:rsid w:val="00017EDA"/>
    <w:rsid w:val="00022D06"/>
    <w:rsid w:val="00026A45"/>
    <w:rsid w:val="00027A29"/>
    <w:rsid w:val="00030F3B"/>
    <w:rsid w:val="0003594B"/>
    <w:rsid w:val="000419C9"/>
    <w:rsid w:val="000430AB"/>
    <w:rsid w:val="000442FD"/>
    <w:rsid w:val="0004466C"/>
    <w:rsid w:val="00046760"/>
    <w:rsid w:val="00051861"/>
    <w:rsid w:val="00067055"/>
    <w:rsid w:val="00072431"/>
    <w:rsid w:val="00073D4A"/>
    <w:rsid w:val="000818A4"/>
    <w:rsid w:val="0009714C"/>
    <w:rsid w:val="000A1D8F"/>
    <w:rsid w:val="000A2B19"/>
    <w:rsid w:val="000A323B"/>
    <w:rsid w:val="000A6424"/>
    <w:rsid w:val="000A6C4E"/>
    <w:rsid w:val="000B49FB"/>
    <w:rsid w:val="000D4279"/>
    <w:rsid w:val="000D4D08"/>
    <w:rsid w:val="000D4E2D"/>
    <w:rsid w:val="000E0672"/>
    <w:rsid w:val="000E15FD"/>
    <w:rsid w:val="000E35C4"/>
    <w:rsid w:val="000E4135"/>
    <w:rsid w:val="000E4BC0"/>
    <w:rsid w:val="000E4DAA"/>
    <w:rsid w:val="000E583C"/>
    <w:rsid w:val="000E648D"/>
    <w:rsid w:val="000E7857"/>
    <w:rsid w:val="000F0394"/>
    <w:rsid w:val="000F5E28"/>
    <w:rsid w:val="00100C39"/>
    <w:rsid w:val="00116C1D"/>
    <w:rsid w:val="001219CC"/>
    <w:rsid w:val="00121F8A"/>
    <w:rsid w:val="00123F33"/>
    <w:rsid w:val="00133F8F"/>
    <w:rsid w:val="00134F86"/>
    <w:rsid w:val="00137D9E"/>
    <w:rsid w:val="00143ADA"/>
    <w:rsid w:val="00143F69"/>
    <w:rsid w:val="00144E67"/>
    <w:rsid w:val="0015168F"/>
    <w:rsid w:val="00154D26"/>
    <w:rsid w:val="00157DA7"/>
    <w:rsid w:val="00161616"/>
    <w:rsid w:val="001618BD"/>
    <w:rsid w:val="00161957"/>
    <w:rsid w:val="00163698"/>
    <w:rsid w:val="00165878"/>
    <w:rsid w:val="00172405"/>
    <w:rsid w:val="00174453"/>
    <w:rsid w:val="00184F82"/>
    <w:rsid w:val="00190599"/>
    <w:rsid w:val="001A1218"/>
    <w:rsid w:val="001B0E5B"/>
    <w:rsid w:val="001B18CA"/>
    <w:rsid w:val="001B4DAC"/>
    <w:rsid w:val="001B56FC"/>
    <w:rsid w:val="001C2BAC"/>
    <w:rsid w:val="001C7E0F"/>
    <w:rsid w:val="001D15CB"/>
    <w:rsid w:val="001D65A7"/>
    <w:rsid w:val="001E452B"/>
    <w:rsid w:val="001F1D7E"/>
    <w:rsid w:val="001F3ED7"/>
    <w:rsid w:val="002033D1"/>
    <w:rsid w:val="00205010"/>
    <w:rsid w:val="00207324"/>
    <w:rsid w:val="00215254"/>
    <w:rsid w:val="0021626B"/>
    <w:rsid w:val="00222699"/>
    <w:rsid w:val="00223D31"/>
    <w:rsid w:val="0022677F"/>
    <w:rsid w:val="00230DB2"/>
    <w:rsid w:val="00230E25"/>
    <w:rsid w:val="00234A06"/>
    <w:rsid w:val="00234C50"/>
    <w:rsid w:val="002358AC"/>
    <w:rsid w:val="00236FA7"/>
    <w:rsid w:val="00237631"/>
    <w:rsid w:val="00243936"/>
    <w:rsid w:val="002443AC"/>
    <w:rsid w:val="0024744C"/>
    <w:rsid w:val="002619DB"/>
    <w:rsid w:val="002622E0"/>
    <w:rsid w:val="002700A3"/>
    <w:rsid w:val="00275227"/>
    <w:rsid w:val="00282E23"/>
    <w:rsid w:val="00283E58"/>
    <w:rsid w:val="00290822"/>
    <w:rsid w:val="00290BA8"/>
    <w:rsid w:val="00292FF2"/>
    <w:rsid w:val="00293264"/>
    <w:rsid w:val="002934B1"/>
    <w:rsid w:val="002A18BC"/>
    <w:rsid w:val="002A62EC"/>
    <w:rsid w:val="002B1DA3"/>
    <w:rsid w:val="002C1CEB"/>
    <w:rsid w:val="002C56C5"/>
    <w:rsid w:val="002C5D74"/>
    <w:rsid w:val="002D0E15"/>
    <w:rsid w:val="002D79E4"/>
    <w:rsid w:val="002E0A02"/>
    <w:rsid w:val="002E4999"/>
    <w:rsid w:val="002E4C7C"/>
    <w:rsid w:val="002F2B0B"/>
    <w:rsid w:val="002F565F"/>
    <w:rsid w:val="002F7ACE"/>
    <w:rsid w:val="00302C9B"/>
    <w:rsid w:val="003077CF"/>
    <w:rsid w:val="003267D8"/>
    <w:rsid w:val="00332619"/>
    <w:rsid w:val="00333B3B"/>
    <w:rsid w:val="003343D4"/>
    <w:rsid w:val="00353100"/>
    <w:rsid w:val="003539B2"/>
    <w:rsid w:val="00355DDC"/>
    <w:rsid w:val="003618D9"/>
    <w:rsid w:val="0036336B"/>
    <w:rsid w:val="00364C45"/>
    <w:rsid w:val="00365CCB"/>
    <w:rsid w:val="00370201"/>
    <w:rsid w:val="00371538"/>
    <w:rsid w:val="00371799"/>
    <w:rsid w:val="003725E5"/>
    <w:rsid w:val="003740ED"/>
    <w:rsid w:val="00377F1D"/>
    <w:rsid w:val="00380051"/>
    <w:rsid w:val="00380434"/>
    <w:rsid w:val="0039433B"/>
    <w:rsid w:val="00394B1D"/>
    <w:rsid w:val="003B569E"/>
    <w:rsid w:val="003C7094"/>
    <w:rsid w:val="003E11CE"/>
    <w:rsid w:val="003E5253"/>
    <w:rsid w:val="003F3E86"/>
    <w:rsid w:val="003F7D4F"/>
    <w:rsid w:val="00412D2E"/>
    <w:rsid w:val="00412E0A"/>
    <w:rsid w:val="00420BDF"/>
    <w:rsid w:val="00432C15"/>
    <w:rsid w:val="004343D7"/>
    <w:rsid w:val="00435872"/>
    <w:rsid w:val="00435A91"/>
    <w:rsid w:val="0044105C"/>
    <w:rsid w:val="0044150E"/>
    <w:rsid w:val="00446F70"/>
    <w:rsid w:val="004470B1"/>
    <w:rsid w:val="004531C1"/>
    <w:rsid w:val="004547CD"/>
    <w:rsid w:val="00461463"/>
    <w:rsid w:val="00472B30"/>
    <w:rsid w:val="004730BF"/>
    <w:rsid w:val="00483946"/>
    <w:rsid w:val="00485E99"/>
    <w:rsid w:val="00493133"/>
    <w:rsid w:val="004950BC"/>
    <w:rsid w:val="004A0836"/>
    <w:rsid w:val="004A493C"/>
    <w:rsid w:val="004D01DC"/>
    <w:rsid w:val="004D1504"/>
    <w:rsid w:val="004D1671"/>
    <w:rsid w:val="004D383F"/>
    <w:rsid w:val="004D3919"/>
    <w:rsid w:val="004D3DDC"/>
    <w:rsid w:val="004E1503"/>
    <w:rsid w:val="004E2327"/>
    <w:rsid w:val="004F0AE1"/>
    <w:rsid w:val="004F1203"/>
    <w:rsid w:val="004F1780"/>
    <w:rsid w:val="004F1B88"/>
    <w:rsid w:val="004F2632"/>
    <w:rsid w:val="004F40BF"/>
    <w:rsid w:val="004F4D25"/>
    <w:rsid w:val="004F6070"/>
    <w:rsid w:val="00502853"/>
    <w:rsid w:val="00502DC1"/>
    <w:rsid w:val="00503560"/>
    <w:rsid w:val="0051031D"/>
    <w:rsid w:val="005220CA"/>
    <w:rsid w:val="00527A15"/>
    <w:rsid w:val="005308F9"/>
    <w:rsid w:val="005348A1"/>
    <w:rsid w:val="00540114"/>
    <w:rsid w:val="00540F2E"/>
    <w:rsid w:val="005424EC"/>
    <w:rsid w:val="00542955"/>
    <w:rsid w:val="00546426"/>
    <w:rsid w:val="005544ED"/>
    <w:rsid w:val="00556889"/>
    <w:rsid w:val="00562191"/>
    <w:rsid w:val="005643E7"/>
    <w:rsid w:val="00565971"/>
    <w:rsid w:val="005659AB"/>
    <w:rsid w:val="00565E87"/>
    <w:rsid w:val="00566A75"/>
    <w:rsid w:val="00580F56"/>
    <w:rsid w:val="00581CFC"/>
    <w:rsid w:val="005828A6"/>
    <w:rsid w:val="00590C27"/>
    <w:rsid w:val="00591068"/>
    <w:rsid w:val="00593EDC"/>
    <w:rsid w:val="0059710F"/>
    <w:rsid w:val="005A3371"/>
    <w:rsid w:val="005B0CE0"/>
    <w:rsid w:val="005B3F6A"/>
    <w:rsid w:val="005B5BAC"/>
    <w:rsid w:val="005B5E0B"/>
    <w:rsid w:val="005C0CCE"/>
    <w:rsid w:val="005C1007"/>
    <w:rsid w:val="005D5E78"/>
    <w:rsid w:val="005D653B"/>
    <w:rsid w:val="005E13B7"/>
    <w:rsid w:val="005E488A"/>
    <w:rsid w:val="005E521E"/>
    <w:rsid w:val="005E5BFA"/>
    <w:rsid w:val="005E6B22"/>
    <w:rsid w:val="005F346D"/>
    <w:rsid w:val="005F59C4"/>
    <w:rsid w:val="006014F2"/>
    <w:rsid w:val="00602867"/>
    <w:rsid w:val="00603280"/>
    <w:rsid w:val="00604898"/>
    <w:rsid w:val="00610346"/>
    <w:rsid w:val="0061278F"/>
    <w:rsid w:val="00613016"/>
    <w:rsid w:val="00626D37"/>
    <w:rsid w:val="006420A9"/>
    <w:rsid w:val="00651043"/>
    <w:rsid w:val="00653485"/>
    <w:rsid w:val="006540C2"/>
    <w:rsid w:val="006552CF"/>
    <w:rsid w:val="00655A0B"/>
    <w:rsid w:val="006645B1"/>
    <w:rsid w:val="00664801"/>
    <w:rsid w:val="00664CCA"/>
    <w:rsid w:val="0067257A"/>
    <w:rsid w:val="00677526"/>
    <w:rsid w:val="00683355"/>
    <w:rsid w:val="00685BA3"/>
    <w:rsid w:val="0069152E"/>
    <w:rsid w:val="006D4801"/>
    <w:rsid w:val="006D4F1F"/>
    <w:rsid w:val="006D5B0F"/>
    <w:rsid w:val="006D655A"/>
    <w:rsid w:val="006D6812"/>
    <w:rsid w:val="006E0814"/>
    <w:rsid w:val="006E375F"/>
    <w:rsid w:val="006E3CFA"/>
    <w:rsid w:val="006E58EC"/>
    <w:rsid w:val="006F0393"/>
    <w:rsid w:val="006F1DF5"/>
    <w:rsid w:val="006F5C06"/>
    <w:rsid w:val="0070604D"/>
    <w:rsid w:val="0070677A"/>
    <w:rsid w:val="00710E19"/>
    <w:rsid w:val="007158A0"/>
    <w:rsid w:val="007216FB"/>
    <w:rsid w:val="0073632F"/>
    <w:rsid w:val="00737034"/>
    <w:rsid w:val="00740736"/>
    <w:rsid w:val="0074436D"/>
    <w:rsid w:val="007463A5"/>
    <w:rsid w:val="007466F9"/>
    <w:rsid w:val="00747066"/>
    <w:rsid w:val="0075554E"/>
    <w:rsid w:val="00755BF9"/>
    <w:rsid w:val="00757048"/>
    <w:rsid w:val="0076274B"/>
    <w:rsid w:val="00765F43"/>
    <w:rsid w:val="0077108C"/>
    <w:rsid w:val="007818DC"/>
    <w:rsid w:val="00781E37"/>
    <w:rsid w:val="0078278A"/>
    <w:rsid w:val="00785728"/>
    <w:rsid w:val="00787DC7"/>
    <w:rsid w:val="00794971"/>
    <w:rsid w:val="00796745"/>
    <w:rsid w:val="00796C24"/>
    <w:rsid w:val="007B2C27"/>
    <w:rsid w:val="007B6067"/>
    <w:rsid w:val="007C3264"/>
    <w:rsid w:val="007D000F"/>
    <w:rsid w:val="007D2270"/>
    <w:rsid w:val="007E3D93"/>
    <w:rsid w:val="007E6543"/>
    <w:rsid w:val="007F1F6A"/>
    <w:rsid w:val="007F4DB4"/>
    <w:rsid w:val="00802011"/>
    <w:rsid w:val="008070EE"/>
    <w:rsid w:val="00810DBF"/>
    <w:rsid w:val="00814728"/>
    <w:rsid w:val="00814F24"/>
    <w:rsid w:val="00815544"/>
    <w:rsid w:val="00816995"/>
    <w:rsid w:val="00816FBF"/>
    <w:rsid w:val="00820407"/>
    <w:rsid w:val="00826051"/>
    <w:rsid w:val="00831F33"/>
    <w:rsid w:val="00834614"/>
    <w:rsid w:val="008346C4"/>
    <w:rsid w:val="008578A1"/>
    <w:rsid w:val="00865662"/>
    <w:rsid w:val="00870E47"/>
    <w:rsid w:val="00871EBC"/>
    <w:rsid w:val="00873912"/>
    <w:rsid w:val="00875B23"/>
    <w:rsid w:val="00875FBD"/>
    <w:rsid w:val="00877E26"/>
    <w:rsid w:val="00896BF6"/>
    <w:rsid w:val="008A0D53"/>
    <w:rsid w:val="008B3E04"/>
    <w:rsid w:val="008C3E87"/>
    <w:rsid w:val="008C4AC5"/>
    <w:rsid w:val="008C5D33"/>
    <w:rsid w:val="008E1969"/>
    <w:rsid w:val="008E7B28"/>
    <w:rsid w:val="008F1B9F"/>
    <w:rsid w:val="008F2314"/>
    <w:rsid w:val="008F27EE"/>
    <w:rsid w:val="008F34BF"/>
    <w:rsid w:val="008F4999"/>
    <w:rsid w:val="00904353"/>
    <w:rsid w:val="0090440B"/>
    <w:rsid w:val="00910F24"/>
    <w:rsid w:val="009124E0"/>
    <w:rsid w:val="00913160"/>
    <w:rsid w:val="0092258D"/>
    <w:rsid w:val="00922C83"/>
    <w:rsid w:val="009256AF"/>
    <w:rsid w:val="00933E87"/>
    <w:rsid w:val="00934407"/>
    <w:rsid w:val="0093794D"/>
    <w:rsid w:val="00943001"/>
    <w:rsid w:val="009558EC"/>
    <w:rsid w:val="00965C6A"/>
    <w:rsid w:val="00971767"/>
    <w:rsid w:val="00983970"/>
    <w:rsid w:val="009848DA"/>
    <w:rsid w:val="009861FB"/>
    <w:rsid w:val="00987927"/>
    <w:rsid w:val="00990501"/>
    <w:rsid w:val="00996843"/>
    <w:rsid w:val="009A2154"/>
    <w:rsid w:val="009A3E97"/>
    <w:rsid w:val="009A6007"/>
    <w:rsid w:val="009B1247"/>
    <w:rsid w:val="009B17F7"/>
    <w:rsid w:val="009B2231"/>
    <w:rsid w:val="009B2E07"/>
    <w:rsid w:val="009B48F7"/>
    <w:rsid w:val="009B6CD5"/>
    <w:rsid w:val="009C10DE"/>
    <w:rsid w:val="009C1686"/>
    <w:rsid w:val="009C5FAC"/>
    <w:rsid w:val="009D0587"/>
    <w:rsid w:val="009D084E"/>
    <w:rsid w:val="009D3374"/>
    <w:rsid w:val="009D68EC"/>
    <w:rsid w:val="009E040B"/>
    <w:rsid w:val="009E58E3"/>
    <w:rsid w:val="009E70CD"/>
    <w:rsid w:val="009F74F0"/>
    <w:rsid w:val="00A0281F"/>
    <w:rsid w:val="00A054C4"/>
    <w:rsid w:val="00A05BB1"/>
    <w:rsid w:val="00A07D3A"/>
    <w:rsid w:val="00A109F9"/>
    <w:rsid w:val="00A151DE"/>
    <w:rsid w:val="00A167E2"/>
    <w:rsid w:val="00A24080"/>
    <w:rsid w:val="00A361D3"/>
    <w:rsid w:val="00A41542"/>
    <w:rsid w:val="00A42FFA"/>
    <w:rsid w:val="00A45B3E"/>
    <w:rsid w:val="00A51189"/>
    <w:rsid w:val="00A51BCA"/>
    <w:rsid w:val="00A5439E"/>
    <w:rsid w:val="00A54474"/>
    <w:rsid w:val="00A61408"/>
    <w:rsid w:val="00A6579A"/>
    <w:rsid w:val="00A65FDE"/>
    <w:rsid w:val="00A84C7D"/>
    <w:rsid w:val="00A96A61"/>
    <w:rsid w:val="00A96C37"/>
    <w:rsid w:val="00AA2E26"/>
    <w:rsid w:val="00AB1FAD"/>
    <w:rsid w:val="00AB4C1B"/>
    <w:rsid w:val="00AB7A98"/>
    <w:rsid w:val="00AC1576"/>
    <w:rsid w:val="00AC23E3"/>
    <w:rsid w:val="00AC5A02"/>
    <w:rsid w:val="00AD0868"/>
    <w:rsid w:val="00AD5D0D"/>
    <w:rsid w:val="00AD6E2F"/>
    <w:rsid w:val="00AE6723"/>
    <w:rsid w:val="00AF0DAF"/>
    <w:rsid w:val="00AF1DB9"/>
    <w:rsid w:val="00B01F70"/>
    <w:rsid w:val="00B147F4"/>
    <w:rsid w:val="00B20318"/>
    <w:rsid w:val="00B20EB9"/>
    <w:rsid w:val="00B219AF"/>
    <w:rsid w:val="00B223F4"/>
    <w:rsid w:val="00B31763"/>
    <w:rsid w:val="00B43CC6"/>
    <w:rsid w:val="00B464F8"/>
    <w:rsid w:val="00B52238"/>
    <w:rsid w:val="00B6179A"/>
    <w:rsid w:val="00B61C5E"/>
    <w:rsid w:val="00B62493"/>
    <w:rsid w:val="00B62B1A"/>
    <w:rsid w:val="00B633DB"/>
    <w:rsid w:val="00B656A5"/>
    <w:rsid w:val="00B71F3F"/>
    <w:rsid w:val="00B72FBD"/>
    <w:rsid w:val="00B7710D"/>
    <w:rsid w:val="00B868F9"/>
    <w:rsid w:val="00B954A7"/>
    <w:rsid w:val="00BA12D0"/>
    <w:rsid w:val="00BB17A2"/>
    <w:rsid w:val="00BB1B4F"/>
    <w:rsid w:val="00BB2AED"/>
    <w:rsid w:val="00BB2EC8"/>
    <w:rsid w:val="00BC4296"/>
    <w:rsid w:val="00BD2EC6"/>
    <w:rsid w:val="00BD3AD8"/>
    <w:rsid w:val="00BD405A"/>
    <w:rsid w:val="00BE5E6F"/>
    <w:rsid w:val="00BE6CFF"/>
    <w:rsid w:val="00BF673D"/>
    <w:rsid w:val="00BF6C32"/>
    <w:rsid w:val="00C028C3"/>
    <w:rsid w:val="00C04F3D"/>
    <w:rsid w:val="00C06F8E"/>
    <w:rsid w:val="00C11059"/>
    <w:rsid w:val="00C155AD"/>
    <w:rsid w:val="00C15E4F"/>
    <w:rsid w:val="00C245A3"/>
    <w:rsid w:val="00C30762"/>
    <w:rsid w:val="00C377DF"/>
    <w:rsid w:val="00C40A6F"/>
    <w:rsid w:val="00C43845"/>
    <w:rsid w:val="00C45B8B"/>
    <w:rsid w:val="00C50F77"/>
    <w:rsid w:val="00C567AD"/>
    <w:rsid w:val="00C56CDC"/>
    <w:rsid w:val="00C60ACF"/>
    <w:rsid w:val="00C62A3F"/>
    <w:rsid w:val="00C64A6A"/>
    <w:rsid w:val="00C70079"/>
    <w:rsid w:val="00C71186"/>
    <w:rsid w:val="00C72870"/>
    <w:rsid w:val="00C73E25"/>
    <w:rsid w:val="00C74B83"/>
    <w:rsid w:val="00C8209A"/>
    <w:rsid w:val="00C86F3A"/>
    <w:rsid w:val="00C87EFC"/>
    <w:rsid w:val="00C908AB"/>
    <w:rsid w:val="00C9748F"/>
    <w:rsid w:val="00CA1945"/>
    <w:rsid w:val="00CC047D"/>
    <w:rsid w:val="00CC4B26"/>
    <w:rsid w:val="00CC704F"/>
    <w:rsid w:val="00CE18A2"/>
    <w:rsid w:val="00CE1D9C"/>
    <w:rsid w:val="00CE23DC"/>
    <w:rsid w:val="00CE330B"/>
    <w:rsid w:val="00CE3486"/>
    <w:rsid w:val="00CF000C"/>
    <w:rsid w:val="00CF447E"/>
    <w:rsid w:val="00CF7DC5"/>
    <w:rsid w:val="00D016B9"/>
    <w:rsid w:val="00D01BBE"/>
    <w:rsid w:val="00D04B8B"/>
    <w:rsid w:val="00D14411"/>
    <w:rsid w:val="00D27F4B"/>
    <w:rsid w:val="00D31E4C"/>
    <w:rsid w:val="00D4190F"/>
    <w:rsid w:val="00D4413D"/>
    <w:rsid w:val="00D45F5F"/>
    <w:rsid w:val="00D47589"/>
    <w:rsid w:val="00D52767"/>
    <w:rsid w:val="00D54384"/>
    <w:rsid w:val="00D5465F"/>
    <w:rsid w:val="00D57D00"/>
    <w:rsid w:val="00D6031D"/>
    <w:rsid w:val="00D627BA"/>
    <w:rsid w:val="00D62E95"/>
    <w:rsid w:val="00D6415F"/>
    <w:rsid w:val="00D66619"/>
    <w:rsid w:val="00D71AE1"/>
    <w:rsid w:val="00D87628"/>
    <w:rsid w:val="00D87B0F"/>
    <w:rsid w:val="00D9104B"/>
    <w:rsid w:val="00D91D07"/>
    <w:rsid w:val="00DB3954"/>
    <w:rsid w:val="00DB6ECD"/>
    <w:rsid w:val="00DB6FE0"/>
    <w:rsid w:val="00DD0B13"/>
    <w:rsid w:val="00DD110F"/>
    <w:rsid w:val="00DD3D7B"/>
    <w:rsid w:val="00DD7BC1"/>
    <w:rsid w:val="00DE5D65"/>
    <w:rsid w:val="00DF33AB"/>
    <w:rsid w:val="00DF3821"/>
    <w:rsid w:val="00E00056"/>
    <w:rsid w:val="00E013A4"/>
    <w:rsid w:val="00E04179"/>
    <w:rsid w:val="00E047E9"/>
    <w:rsid w:val="00E05604"/>
    <w:rsid w:val="00E15872"/>
    <w:rsid w:val="00E25526"/>
    <w:rsid w:val="00E308FC"/>
    <w:rsid w:val="00E35370"/>
    <w:rsid w:val="00E35AAA"/>
    <w:rsid w:val="00E410EE"/>
    <w:rsid w:val="00E443F9"/>
    <w:rsid w:val="00E57FC3"/>
    <w:rsid w:val="00E66ED7"/>
    <w:rsid w:val="00E73FD9"/>
    <w:rsid w:val="00E77F24"/>
    <w:rsid w:val="00E81064"/>
    <w:rsid w:val="00E8355B"/>
    <w:rsid w:val="00E85E7F"/>
    <w:rsid w:val="00E86E88"/>
    <w:rsid w:val="00E86F2C"/>
    <w:rsid w:val="00E91394"/>
    <w:rsid w:val="00E91F73"/>
    <w:rsid w:val="00E94E2F"/>
    <w:rsid w:val="00EA7AE1"/>
    <w:rsid w:val="00EB07D2"/>
    <w:rsid w:val="00EB1D27"/>
    <w:rsid w:val="00EC08A6"/>
    <w:rsid w:val="00ED354D"/>
    <w:rsid w:val="00ED363D"/>
    <w:rsid w:val="00EE128D"/>
    <w:rsid w:val="00EE739C"/>
    <w:rsid w:val="00EE7701"/>
    <w:rsid w:val="00EF0690"/>
    <w:rsid w:val="00EF082D"/>
    <w:rsid w:val="00EF1106"/>
    <w:rsid w:val="00EF193B"/>
    <w:rsid w:val="00EF3DA5"/>
    <w:rsid w:val="00EF4F59"/>
    <w:rsid w:val="00F02D4F"/>
    <w:rsid w:val="00F02DCE"/>
    <w:rsid w:val="00F11D33"/>
    <w:rsid w:val="00F17163"/>
    <w:rsid w:val="00F20D2B"/>
    <w:rsid w:val="00F26DF0"/>
    <w:rsid w:val="00F27C82"/>
    <w:rsid w:val="00F372AA"/>
    <w:rsid w:val="00F40E17"/>
    <w:rsid w:val="00F41CB6"/>
    <w:rsid w:val="00F45A2B"/>
    <w:rsid w:val="00F554EF"/>
    <w:rsid w:val="00F605B3"/>
    <w:rsid w:val="00F705E4"/>
    <w:rsid w:val="00F74073"/>
    <w:rsid w:val="00F74F12"/>
    <w:rsid w:val="00F76F93"/>
    <w:rsid w:val="00F8098B"/>
    <w:rsid w:val="00F82E07"/>
    <w:rsid w:val="00F8441F"/>
    <w:rsid w:val="00F867FA"/>
    <w:rsid w:val="00F90BD6"/>
    <w:rsid w:val="00F93E7B"/>
    <w:rsid w:val="00FA119D"/>
    <w:rsid w:val="00FA1FAA"/>
    <w:rsid w:val="00FA5AAC"/>
    <w:rsid w:val="00FA7F1B"/>
    <w:rsid w:val="00FB4DDC"/>
    <w:rsid w:val="00FB5659"/>
    <w:rsid w:val="00FC2FD8"/>
    <w:rsid w:val="00FD1441"/>
    <w:rsid w:val="00FD4FAB"/>
    <w:rsid w:val="00FD629E"/>
    <w:rsid w:val="00FD69AD"/>
    <w:rsid w:val="00FD7D31"/>
    <w:rsid w:val="00FE0A9C"/>
    <w:rsid w:val="00FE49AF"/>
    <w:rsid w:val="00FE79A2"/>
    <w:rsid w:val="00FF2AE8"/>
    <w:rsid w:val="00FF4AB1"/>
    <w:rsid w:val="00FF4F8E"/>
    <w:rsid w:val="00FF6390"/>
    <w:rsid w:val="00FF7A34"/>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3BD91CF-8494-4279-B1F6-06BE25A5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1767"/>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971767"/>
    <w:pPr>
      <w:tabs>
        <w:tab w:val="center" w:pos="4536"/>
        <w:tab w:val="right" w:pos="9072"/>
      </w:tabs>
    </w:pPr>
  </w:style>
  <w:style w:type="character" w:customStyle="1" w:styleId="KopfzeileZchn">
    <w:name w:val="Kopfzeile Zchn"/>
    <w:basedOn w:val="Absatz-Standardschriftart"/>
    <w:link w:val="Kopfzeile"/>
    <w:uiPriority w:val="99"/>
    <w:semiHidden/>
    <w:rsid w:val="00971767"/>
  </w:style>
  <w:style w:type="paragraph" w:styleId="Fuzeile">
    <w:name w:val="footer"/>
    <w:basedOn w:val="Standard"/>
    <w:link w:val="FuzeileZchn"/>
    <w:uiPriority w:val="99"/>
    <w:semiHidden/>
    <w:unhideWhenUsed/>
    <w:rsid w:val="00971767"/>
    <w:pPr>
      <w:tabs>
        <w:tab w:val="center" w:pos="4536"/>
        <w:tab w:val="right" w:pos="9072"/>
      </w:tabs>
    </w:pPr>
  </w:style>
  <w:style w:type="character" w:customStyle="1" w:styleId="FuzeileZchn">
    <w:name w:val="Fußzeile Zchn"/>
    <w:basedOn w:val="Absatz-Standardschriftart"/>
    <w:link w:val="Fuzeile"/>
    <w:uiPriority w:val="99"/>
    <w:semiHidden/>
    <w:rsid w:val="00971767"/>
  </w:style>
  <w:style w:type="character" w:styleId="Hyperlink">
    <w:name w:val="Hyperlink"/>
    <w:unhideWhenUsed/>
    <w:rsid w:val="00971767"/>
    <w:rPr>
      <w:color w:val="0000FF"/>
      <w:u w:val="single"/>
    </w:rPr>
  </w:style>
  <w:style w:type="paragraph" w:customStyle="1" w:styleId="Abspann">
    <w:name w:val="Abspann"/>
    <w:rsid w:val="00971767"/>
    <w:rPr>
      <w:rFonts w:ascii="Times New Roman" w:eastAsia="Times New Roman" w:hAnsi="Times New Roman" w:cs="Times New Roman"/>
      <w:sz w:val="16"/>
      <w:szCs w:val="20"/>
      <w:lang w:eastAsia="de-DE"/>
    </w:rPr>
  </w:style>
  <w:style w:type="character" w:styleId="BesuchterLink">
    <w:name w:val="FollowedHyperlink"/>
    <w:basedOn w:val="Absatz-Standardschriftart"/>
    <w:rsid w:val="00971767"/>
    <w:rPr>
      <w:color w:val="800080" w:themeColor="followedHyperlink"/>
      <w:u w:val="single"/>
    </w:rPr>
  </w:style>
  <w:style w:type="character" w:styleId="Kommentarzeichen">
    <w:name w:val="annotation reference"/>
    <w:basedOn w:val="Absatz-Standardschriftart"/>
    <w:semiHidden/>
    <w:unhideWhenUsed/>
    <w:rsid w:val="00215254"/>
    <w:rPr>
      <w:sz w:val="16"/>
      <w:szCs w:val="16"/>
    </w:rPr>
  </w:style>
  <w:style w:type="paragraph" w:styleId="Kommentartext">
    <w:name w:val="annotation text"/>
    <w:basedOn w:val="Standard"/>
    <w:link w:val="KommentartextZchn"/>
    <w:semiHidden/>
    <w:unhideWhenUsed/>
    <w:rsid w:val="00215254"/>
  </w:style>
  <w:style w:type="character" w:customStyle="1" w:styleId="KommentartextZchn">
    <w:name w:val="Kommentartext Zchn"/>
    <w:basedOn w:val="Absatz-Standardschriftart"/>
    <w:link w:val="Kommentartext"/>
    <w:semiHidden/>
    <w:rsid w:val="00215254"/>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unhideWhenUsed/>
    <w:rsid w:val="00215254"/>
    <w:rPr>
      <w:b/>
      <w:bCs/>
    </w:rPr>
  </w:style>
  <w:style w:type="character" w:customStyle="1" w:styleId="KommentarthemaZchn">
    <w:name w:val="Kommentarthema Zchn"/>
    <w:basedOn w:val="KommentartextZchn"/>
    <w:link w:val="Kommentarthema"/>
    <w:semiHidden/>
    <w:rsid w:val="00215254"/>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semiHidden/>
    <w:unhideWhenUsed/>
    <w:rsid w:val="00215254"/>
    <w:rPr>
      <w:rFonts w:ascii="Segoe UI" w:hAnsi="Segoe UI" w:cs="Segoe UI"/>
      <w:sz w:val="18"/>
      <w:szCs w:val="18"/>
    </w:rPr>
  </w:style>
  <w:style w:type="character" w:customStyle="1" w:styleId="SprechblasentextZchn">
    <w:name w:val="Sprechblasentext Zchn"/>
    <w:basedOn w:val="Absatz-Standardschriftart"/>
    <w:link w:val="Sprechblasentext"/>
    <w:semiHidden/>
    <w:rsid w:val="00215254"/>
    <w:rPr>
      <w:rFonts w:ascii="Segoe UI" w:eastAsia="Times New Roman" w:hAnsi="Segoe UI" w:cs="Segoe UI"/>
      <w:sz w:val="18"/>
      <w:szCs w:val="18"/>
      <w:lang w:eastAsia="de-DE"/>
    </w:rPr>
  </w:style>
  <w:style w:type="character" w:customStyle="1" w:styleId="NichtaufgelsteErwhnung1">
    <w:name w:val="Nicht aufgelöste Erwähnung1"/>
    <w:basedOn w:val="Absatz-Standardschriftart"/>
    <w:uiPriority w:val="99"/>
    <w:semiHidden/>
    <w:unhideWhenUsed/>
    <w:rsid w:val="00740736"/>
    <w:rPr>
      <w:color w:val="605E5C"/>
      <w:shd w:val="clear" w:color="auto" w:fill="E1DFDD"/>
    </w:rPr>
  </w:style>
  <w:style w:type="paragraph" w:customStyle="1" w:styleId="Standard1">
    <w:name w:val="Standard1"/>
    <w:rsid w:val="009861FB"/>
    <w:pPr>
      <w:pBdr>
        <w:top w:val="nil"/>
        <w:left w:val="nil"/>
        <w:bottom w:val="nil"/>
        <w:right w:val="nil"/>
        <w:between w:val="nil"/>
        <w:bar w:val="nil"/>
      </w:pBdr>
      <w:spacing w:line="276" w:lineRule="auto"/>
    </w:pPr>
    <w:rPr>
      <w:rFonts w:ascii="Arial" w:eastAsia="Arial Unicode MS" w:hAnsi="Arial Unicode MS" w:cs="Arial Unicode MS"/>
      <w:color w:val="000000"/>
      <w:sz w:val="22"/>
      <w:szCs w:val="22"/>
      <w:u w:color="000000"/>
      <w:bdr w:val="nil"/>
    </w:rPr>
  </w:style>
  <w:style w:type="character" w:customStyle="1" w:styleId="NichtaufgelsteErwhnung2">
    <w:name w:val="Nicht aufgelöste Erwähnung2"/>
    <w:basedOn w:val="Absatz-Standardschriftart"/>
    <w:uiPriority w:val="99"/>
    <w:semiHidden/>
    <w:unhideWhenUsed/>
    <w:rsid w:val="00D14411"/>
    <w:rPr>
      <w:color w:val="605E5C"/>
      <w:shd w:val="clear" w:color="auto" w:fill="E1DFDD"/>
    </w:rPr>
  </w:style>
  <w:style w:type="paragraph" w:styleId="Listenabsatz">
    <w:name w:val="List Paragraph"/>
    <w:basedOn w:val="Standard"/>
    <w:link w:val="ListenabsatzZchn"/>
    <w:uiPriority w:val="34"/>
    <w:rsid w:val="004D1504"/>
    <w:pPr>
      <w:spacing w:after="120" w:line="276" w:lineRule="auto"/>
      <w:ind w:left="720"/>
      <w:contextualSpacing/>
    </w:pPr>
    <w:rPr>
      <w:rFonts w:ascii="Arial" w:eastAsiaTheme="minorHAnsi" w:hAnsi="Arial" w:cstheme="minorBidi"/>
      <w:sz w:val="22"/>
      <w:szCs w:val="22"/>
      <w:lang w:eastAsia="en-US"/>
    </w:rPr>
  </w:style>
  <w:style w:type="character" w:customStyle="1" w:styleId="ListenabsatzZchn">
    <w:name w:val="Listenabsatz Zchn"/>
    <w:basedOn w:val="Absatz-Standardschriftart"/>
    <w:link w:val="Listenabsatz"/>
    <w:uiPriority w:val="34"/>
    <w:rsid w:val="004D1504"/>
    <w:rPr>
      <w:rFonts w:ascii="Arial" w:hAnsi="Arial"/>
      <w:sz w:val="22"/>
      <w:szCs w:val="22"/>
    </w:rPr>
  </w:style>
  <w:style w:type="character" w:styleId="Hervorhebung">
    <w:name w:val="Emphasis"/>
    <w:basedOn w:val="Absatz-Standardschriftart"/>
    <w:uiPriority w:val="20"/>
    <w:qFormat/>
    <w:rsid w:val="00137D9E"/>
    <w:rPr>
      <w:b/>
      <w:bCs/>
      <w:i w:val="0"/>
      <w:iCs w:val="0"/>
    </w:rPr>
  </w:style>
  <w:style w:type="character" w:customStyle="1" w:styleId="st1">
    <w:name w:val="st1"/>
    <w:basedOn w:val="Absatz-Standardschriftart"/>
    <w:rsid w:val="00137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61062">
      <w:bodyDiv w:val="1"/>
      <w:marLeft w:val="0"/>
      <w:marRight w:val="0"/>
      <w:marTop w:val="0"/>
      <w:marBottom w:val="0"/>
      <w:divBdr>
        <w:top w:val="none" w:sz="0" w:space="0" w:color="auto"/>
        <w:left w:val="none" w:sz="0" w:space="0" w:color="auto"/>
        <w:bottom w:val="none" w:sz="0" w:space="0" w:color="auto"/>
        <w:right w:val="none" w:sz="0" w:space="0" w:color="auto"/>
      </w:divBdr>
      <w:divsChild>
        <w:div w:id="1175464322">
          <w:marLeft w:val="0"/>
          <w:marRight w:val="0"/>
          <w:marTop w:val="0"/>
          <w:marBottom w:val="0"/>
          <w:divBdr>
            <w:top w:val="none" w:sz="0" w:space="0" w:color="auto"/>
            <w:left w:val="none" w:sz="0" w:space="0" w:color="auto"/>
            <w:bottom w:val="none" w:sz="0" w:space="0" w:color="auto"/>
            <w:right w:val="none" w:sz="0" w:space="0" w:color="auto"/>
          </w:divBdr>
        </w:div>
      </w:divsChild>
    </w:div>
    <w:div w:id="434597457">
      <w:bodyDiv w:val="1"/>
      <w:marLeft w:val="0"/>
      <w:marRight w:val="0"/>
      <w:marTop w:val="0"/>
      <w:marBottom w:val="0"/>
      <w:divBdr>
        <w:top w:val="none" w:sz="0" w:space="0" w:color="auto"/>
        <w:left w:val="none" w:sz="0" w:space="0" w:color="auto"/>
        <w:bottom w:val="none" w:sz="0" w:space="0" w:color="auto"/>
        <w:right w:val="none" w:sz="0" w:space="0" w:color="auto"/>
      </w:divBdr>
    </w:div>
    <w:div w:id="860700181">
      <w:bodyDiv w:val="1"/>
      <w:marLeft w:val="0"/>
      <w:marRight w:val="0"/>
      <w:marTop w:val="0"/>
      <w:marBottom w:val="0"/>
      <w:divBdr>
        <w:top w:val="none" w:sz="0" w:space="0" w:color="auto"/>
        <w:left w:val="none" w:sz="0" w:space="0" w:color="auto"/>
        <w:bottom w:val="none" w:sz="0" w:space="0" w:color="auto"/>
        <w:right w:val="none" w:sz="0" w:space="0" w:color="auto"/>
      </w:divBdr>
    </w:div>
    <w:div w:id="1121463646">
      <w:bodyDiv w:val="1"/>
      <w:marLeft w:val="0"/>
      <w:marRight w:val="0"/>
      <w:marTop w:val="0"/>
      <w:marBottom w:val="0"/>
      <w:divBdr>
        <w:top w:val="none" w:sz="0" w:space="0" w:color="auto"/>
        <w:left w:val="none" w:sz="0" w:space="0" w:color="auto"/>
        <w:bottom w:val="none" w:sz="0" w:space="0" w:color="auto"/>
        <w:right w:val="none" w:sz="0" w:space="0" w:color="auto"/>
      </w:divBdr>
    </w:div>
    <w:div w:id="1397359068">
      <w:bodyDiv w:val="1"/>
      <w:marLeft w:val="0"/>
      <w:marRight w:val="0"/>
      <w:marTop w:val="0"/>
      <w:marBottom w:val="0"/>
      <w:divBdr>
        <w:top w:val="none" w:sz="0" w:space="0" w:color="auto"/>
        <w:left w:val="none" w:sz="0" w:space="0" w:color="auto"/>
        <w:bottom w:val="none" w:sz="0" w:space="0" w:color="auto"/>
        <w:right w:val="none" w:sz="0" w:space="0" w:color="auto"/>
      </w:divBdr>
    </w:div>
    <w:div w:id="1822890462">
      <w:bodyDiv w:val="1"/>
      <w:marLeft w:val="0"/>
      <w:marRight w:val="0"/>
      <w:marTop w:val="0"/>
      <w:marBottom w:val="0"/>
      <w:divBdr>
        <w:top w:val="none" w:sz="0" w:space="0" w:color="auto"/>
        <w:left w:val="none" w:sz="0" w:space="0" w:color="auto"/>
        <w:bottom w:val="none" w:sz="0" w:space="0" w:color="auto"/>
        <w:right w:val="none" w:sz="0" w:space="0" w:color="auto"/>
      </w:divBdr>
    </w:div>
    <w:div w:id="2106876988">
      <w:bodyDiv w:val="1"/>
      <w:marLeft w:val="0"/>
      <w:marRight w:val="0"/>
      <w:marTop w:val="0"/>
      <w:marBottom w:val="0"/>
      <w:divBdr>
        <w:top w:val="none" w:sz="0" w:space="0" w:color="auto"/>
        <w:left w:val="none" w:sz="0" w:space="0" w:color="auto"/>
        <w:bottom w:val="none" w:sz="0" w:space="0" w:color="auto"/>
        <w:right w:val="none" w:sz="0" w:space="0" w:color="auto"/>
      </w:divBdr>
      <w:divsChild>
        <w:div w:id="51839767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unctum-p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punctum-pr.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niversum.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gulba@boniversum.de" TargetMode="External"/><Relationship Id="rId4" Type="http://schemas.openxmlformats.org/officeDocument/2006/relationships/settings" Target="settings.xml"/><Relationship Id="rId9" Type="http://schemas.openxmlformats.org/officeDocument/2006/relationships/hyperlink" Target="http://www.boniversum.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7ABE2-9E13-4B13-B257-4BE00A208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4771</Characters>
  <Application>Microsoft Office Word</Application>
  <DocSecurity>4</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punctum pr-agentur</Company>
  <LinksUpToDate>false</LinksUpToDate>
  <CharactersWithSpaces>5517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punctum pr</dc:creator>
  <cp:keywords/>
  <cp:lastModifiedBy>Wipperfeld, Dana</cp:lastModifiedBy>
  <cp:revision>2</cp:revision>
  <cp:lastPrinted>2018-09-27T09:29:00Z</cp:lastPrinted>
  <dcterms:created xsi:type="dcterms:W3CDTF">2019-06-05T09:02:00Z</dcterms:created>
  <dcterms:modified xsi:type="dcterms:W3CDTF">2019-06-05T09:02:00Z</dcterms:modified>
</cp:coreProperties>
</file>